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hint="eastAsia" w:ascii="方正小标宋简体" w:hAnsi="方正小标宋简体" w:eastAsia="方正小标宋简体" w:cs="方正小标宋简体"/>
          <w:color w:val="000000"/>
          <w:kern w:val="0"/>
          <w:sz w:val="44"/>
          <w:szCs w:val="44"/>
        </w:rPr>
      </w:pPr>
      <w:r>
        <w:rPr>
          <w:rFonts w:hint="eastAsia" w:ascii="方正小标宋简体" w:hAnsi="方正小标宋简体" w:eastAsia="方正小标宋简体" w:cs="方正小标宋简体"/>
          <w:color w:val="000000"/>
          <w:kern w:val="0"/>
          <w:sz w:val="44"/>
          <w:szCs w:val="44"/>
          <w:lang w:val="en-US" w:eastAsia="zh-CN"/>
        </w:rPr>
        <w:t>新乡市牧野区</w:t>
      </w:r>
      <w:r>
        <w:rPr>
          <w:rFonts w:hint="eastAsia" w:ascii="方正小标宋简体" w:hAnsi="方正小标宋简体" w:eastAsia="方正小标宋简体" w:cs="方正小标宋简体"/>
          <w:color w:val="000000"/>
          <w:kern w:val="0"/>
          <w:sz w:val="44"/>
          <w:szCs w:val="44"/>
        </w:rPr>
        <w:t>荣校路街道办事处</w:t>
      </w:r>
    </w:p>
    <w:p>
      <w:pPr>
        <w:widowControl/>
        <w:jc w:val="center"/>
        <w:rPr>
          <w:rFonts w:hint="eastAsia" w:ascii="方正小标宋简体" w:hAnsi="方正小标宋简体" w:eastAsia="方正小标宋简体" w:cs="方正小标宋简体"/>
          <w:color w:val="000000"/>
          <w:kern w:val="0"/>
          <w:sz w:val="44"/>
          <w:szCs w:val="44"/>
        </w:rPr>
      </w:pPr>
      <w:r>
        <w:rPr>
          <w:rFonts w:hint="eastAsia" w:ascii="方正小标宋简体" w:hAnsi="方正小标宋简体" w:eastAsia="方正小标宋简体" w:cs="方正小标宋简体"/>
          <w:color w:val="000000"/>
          <w:kern w:val="0"/>
          <w:sz w:val="44"/>
          <w:szCs w:val="44"/>
          <w:lang w:val="en-US" w:eastAsia="zh-CN"/>
        </w:rPr>
        <w:t>2020</w:t>
      </w:r>
      <w:r>
        <w:rPr>
          <w:rFonts w:hint="eastAsia" w:ascii="方正小标宋简体" w:hAnsi="方正小标宋简体" w:eastAsia="方正小标宋简体" w:cs="方正小标宋简体"/>
          <w:color w:val="000000"/>
          <w:kern w:val="0"/>
          <w:sz w:val="44"/>
          <w:szCs w:val="44"/>
        </w:rPr>
        <w:t>年政府信息公开工作年度报告</w:t>
      </w:r>
    </w:p>
    <w:p>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_GB2312" w:hAnsi="仿宋_GB2312" w:eastAsia="仿宋_GB2312" w:cs="仿宋_GB2312"/>
          <w:color w:val="000000"/>
          <w:kern w:val="0"/>
          <w:sz w:val="32"/>
          <w:szCs w:val="32"/>
        </w:rPr>
      </w:pPr>
    </w:p>
    <w:p>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 xml:space="preserve"> 一、总体情况</w:t>
      </w:r>
    </w:p>
    <w:p>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2020年，我</w:t>
      </w:r>
      <w:r>
        <w:rPr>
          <w:rFonts w:hint="eastAsia" w:ascii="仿宋_GB2312" w:hAnsi="仿宋_GB2312" w:eastAsia="仿宋_GB2312" w:cs="仿宋_GB2312"/>
          <w:color w:val="000000"/>
          <w:kern w:val="0"/>
          <w:sz w:val="32"/>
          <w:szCs w:val="32"/>
          <w:lang w:val="en-US" w:eastAsia="zh-CN"/>
        </w:rPr>
        <w:t>办事处</w:t>
      </w:r>
      <w:r>
        <w:rPr>
          <w:rFonts w:hint="eastAsia" w:ascii="仿宋_GB2312" w:hAnsi="仿宋_GB2312" w:eastAsia="仿宋_GB2312" w:cs="仿宋_GB2312"/>
          <w:color w:val="000000"/>
          <w:kern w:val="0"/>
          <w:sz w:val="32"/>
          <w:szCs w:val="32"/>
        </w:rPr>
        <w:t>根据区政府信息公开工作相关部署和要求，加强组织领导，完善政府信息发布机制，认真贯彻执行《条例》的各项要求，扎实开展政府信息公开工作。明确街道党政办为</w:t>
      </w:r>
      <w:r>
        <w:rPr>
          <w:rFonts w:hint="eastAsia" w:ascii="仿宋_GB2312" w:hAnsi="仿宋_GB2312" w:eastAsia="仿宋_GB2312" w:cs="仿宋_GB2312"/>
          <w:color w:val="000000"/>
          <w:kern w:val="0"/>
          <w:sz w:val="32"/>
          <w:szCs w:val="32"/>
          <w:lang w:val="en-US" w:eastAsia="zh-CN"/>
        </w:rPr>
        <w:t>办事处</w:t>
      </w:r>
      <w:r>
        <w:rPr>
          <w:rFonts w:hint="eastAsia" w:ascii="仿宋_GB2312" w:hAnsi="仿宋_GB2312" w:eastAsia="仿宋_GB2312" w:cs="仿宋_GB2312"/>
          <w:color w:val="000000"/>
          <w:kern w:val="0"/>
          <w:sz w:val="32"/>
          <w:szCs w:val="32"/>
        </w:rPr>
        <w:t>政府信息公开工作主管部门，作为政府信息公开工作专门机构，负责推进、指导、协调</w:t>
      </w:r>
      <w:r>
        <w:rPr>
          <w:rFonts w:hint="eastAsia" w:ascii="仿宋_GB2312" w:hAnsi="仿宋_GB2312" w:eastAsia="仿宋_GB2312" w:cs="仿宋_GB2312"/>
          <w:color w:val="000000"/>
          <w:kern w:val="0"/>
          <w:sz w:val="32"/>
          <w:szCs w:val="32"/>
          <w:highlight w:val="none"/>
          <w:lang w:val="en-US" w:eastAsia="zh-CN"/>
        </w:rPr>
        <w:t>全办</w:t>
      </w:r>
      <w:r>
        <w:rPr>
          <w:rFonts w:hint="eastAsia" w:ascii="仿宋_GB2312" w:hAnsi="仿宋_GB2312" w:eastAsia="仿宋_GB2312" w:cs="仿宋_GB2312"/>
          <w:color w:val="000000"/>
          <w:kern w:val="0"/>
          <w:sz w:val="32"/>
          <w:szCs w:val="32"/>
        </w:rPr>
        <w:t>政务公开工作</w:t>
      </w:r>
      <w:r>
        <w:rPr>
          <w:rFonts w:hint="eastAsia" w:ascii="仿宋_GB2312" w:hAnsi="仿宋_GB2312" w:eastAsia="仿宋_GB2312" w:cs="仿宋_GB2312"/>
          <w:color w:val="000000"/>
          <w:kern w:val="0"/>
          <w:sz w:val="32"/>
          <w:szCs w:val="32"/>
          <w:lang w:eastAsia="zh-CN"/>
        </w:rPr>
        <w:t>，</w:t>
      </w:r>
      <w:r>
        <w:rPr>
          <w:rFonts w:hint="eastAsia" w:ascii="仿宋_GB2312" w:hAnsi="仿宋_GB2312" w:eastAsia="仿宋_GB2312" w:cs="仿宋_GB2312"/>
          <w:color w:val="000000"/>
          <w:kern w:val="0"/>
          <w:sz w:val="32"/>
          <w:szCs w:val="32"/>
          <w:lang w:val="en-US" w:eastAsia="zh-CN"/>
        </w:rPr>
        <w:t>并且</w:t>
      </w:r>
      <w:r>
        <w:rPr>
          <w:rFonts w:hint="eastAsia" w:ascii="仿宋_GB2312" w:hAnsi="仿宋_GB2312" w:eastAsia="仿宋_GB2312" w:cs="仿宋_GB2312"/>
          <w:color w:val="000000"/>
          <w:kern w:val="0"/>
          <w:sz w:val="32"/>
          <w:szCs w:val="32"/>
        </w:rPr>
        <w:t>按照《条例》的要求，利用政府网站发布政务信息、公开本单位及社区的活动情况及民生工程进展情况。</w:t>
      </w:r>
    </w:p>
    <w:p>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楷体" w:hAnsi="楷体" w:eastAsia="楷体" w:cs="楷体"/>
          <w:color w:val="000000"/>
          <w:kern w:val="0"/>
          <w:sz w:val="32"/>
          <w:szCs w:val="32"/>
        </w:rPr>
      </w:pPr>
      <w:r>
        <w:rPr>
          <w:rFonts w:hint="eastAsia" w:ascii="楷体" w:hAnsi="楷体" w:eastAsia="楷体" w:cs="楷体"/>
          <w:color w:val="000000"/>
          <w:kern w:val="0"/>
          <w:sz w:val="32"/>
          <w:szCs w:val="32"/>
        </w:rPr>
        <w:t>（一）主动公开政府信息情况</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2020年，</w:t>
      </w:r>
      <w:r>
        <w:rPr>
          <w:rFonts w:hint="eastAsia" w:ascii="仿宋_GB2312" w:hAnsi="仿宋_GB2312" w:eastAsia="仿宋_GB2312" w:cs="仿宋_GB2312"/>
          <w:sz w:val="32"/>
          <w:szCs w:val="32"/>
          <w:lang w:val="en-US" w:eastAsia="zh-CN"/>
        </w:rPr>
        <w:t>荣校路街道办事处</w:t>
      </w:r>
      <w:r>
        <w:rPr>
          <w:rFonts w:hint="eastAsia" w:ascii="仿宋_GB2312" w:hAnsi="仿宋_GB2312" w:eastAsia="仿宋_GB2312" w:cs="仿宋_GB2312"/>
          <w:color w:val="000000"/>
          <w:kern w:val="0"/>
          <w:sz w:val="32"/>
          <w:szCs w:val="32"/>
        </w:rPr>
        <w:t>通过区政府信息公开门户网站和相关部门信息系统公开信息44条，12345热线回复860条，市长信箱回复156条，报纸刊登信息23条，公众号公开信息</w:t>
      </w:r>
      <w:r>
        <w:rPr>
          <w:rFonts w:hint="eastAsia" w:ascii="仿宋_GB2312" w:hAnsi="仿宋_GB2312" w:eastAsia="仿宋_GB2312" w:cs="仿宋_GB2312"/>
          <w:color w:val="000000"/>
          <w:kern w:val="0"/>
          <w:sz w:val="32"/>
          <w:szCs w:val="32"/>
          <w:lang w:val="en-US" w:eastAsia="zh-CN"/>
        </w:rPr>
        <w:t>86</w:t>
      </w:r>
      <w:r>
        <w:rPr>
          <w:rFonts w:hint="eastAsia" w:ascii="仿宋_GB2312" w:hAnsi="仿宋_GB2312" w:eastAsia="仿宋_GB2312" w:cs="仿宋_GB2312"/>
          <w:color w:val="000000"/>
          <w:kern w:val="0"/>
          <w:sz w:val="32"/>
          <w:szCs w:val="32"/>
        </w:rPr>
        <w:t>条</w:t>
      </w:r>
      <w:r>
        <w:rPr>
          <w:rFonts w:hint="eastAsia" w:ascii="仿宋_GB2312" w:hAnsi="仿宋_GB2312" w:eastAsia="仿宋_GB2312" w:cs="仿宋_GB2312"/>
          <w:color w:val="000000"/>
          <w:kern w:val="0"/>
          <w:sz w:val="32"/>
          <w:szCs w:val="32"/>
          <w:lang w:eastAsia="zh-CN"/>
        </w:rPr>
        <w:t>。</w:t>
      </w:r>
    </w:p>
    <w:p>
      <w:pPr>
        <w:keepNext w:val="0"/>
        <w:keepLines w:val="0"/>
        <w:pageBreakBefore w:val="0"/>
        <w:widowControl/>
        <w:numPr>
          <w:ilvl w:val="0"/>
          <w:numId w:val="1"/>
        </w:numPr>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楷体" w:hAnsi="楷体" w:eastAsia="楷体" w:cs="楷体"/>
          <w:color w:val="000000"/>
          <w:kern w:val="0"/>
          <w:sz w:val="32"/>
          <w:szCs w:val="32"/>
        </w:rPr>
      </w:pPr>
      <w:r>
        <w:rPr>
          <w:rFonts w:hint="eastAsia" w:ascii="楷体" w:hAnsi="楷体" w:eastAsia="楷体" w:cs="楷体"/>
          <w:color w:val="000000"/>
          <w:kern w:val="0"/>
          <w:sz w:val="32"/>
          <w:szCs w:val="32"/>
        </w:rPr>
        <w:t>依申请公开政府信息情况和行政复议、行政诉讼的处理以及应对情况</w:t>
      </w:r>
    </w:p>
    <w:p>
      <w:pPr>
        <w:keepNext w:val="0"/>
        <w:keepLines w:val="0"/>
        <w:pageBreakBefore w:val="0"/>
        <w:widowControl/>
        <w:numPr>
          <w:ilvl w:val="0"/>
          <w:numId w:val="0"/>
        </w:numPr>
        <w:kinsoku/>
        <w:wordWrap/>
        <w:overflowPunct/>
        <w:topLinePunct w:val="0"/>
        <w:autoSpaceDE/>
        <w:autoSpaceDN/>
        <w:bidi w:val="0"/>
        <w:adjustRightInd/>
        <w:snapToGrid/>
        <w:spacing w:line="240" w:lineRule="auto"/>
        <w:ind w:right="0" w:rightChars="0"/>
        <w:jc w:val="left"/>
        <w:textAlignment w:val="auto"/>
        <w:outlineLvl w:val="9"/>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val="en-US" w:eastAsia="zh-CN"/>
        </w:rPr>
        <w:t xml:space="preserve">    </w:t>
      </w:r>
      <w:r>
        <w:rPr>
          <w:rFonts w:hint="eastAsia" w:ascii="仿宋_GB2312" w:hAnsi="仿宋_GB2312" w:eastAsia="仿宋_GB2312" w:cs="仿宋_GB2312"/>
          <w:color w:val="000000"/>
          <w:kern w:val="0"/>
          <w:sz w:val="32"/>
          <w:szCs w:val="32"/>
        </w:rPr>
        <w:t xml:space="preserve"> 2020年，我</w:t>
      </w:r>
      <w:r>
        <w:rPr>
          <w:rFonts w:hint="eastAsia" w:ascii="仿宋_GB2312" w:hAnsi="仿宋_GB2312" w:eastAsia="仿宋_GB2312" w:cs="仿宋_GB2312"/>
          <w:color w:val="000000"/>
          <w:kern w:val="0"/>
          <w:sz w:val="32"/>
          <w:szCs w:val="32"/>
          <w:lang w:val="en-US" w:eastAsia="zh-CN"/>
        </w:rPr>
        <w:t>办事处</w:t>
      </w:r>
      <w:r>
        <w:rPr>
          <w:rFonts w:hint="eastAsia" w:ascii="仿宋_GB2312" w:hAnsi="仿宋_GB2312" w:eastAsia="仿宋_GB2312" w:cs="仿宋_GB2312"/>
          <w:color w:val="000000"/>
          <w:kern w:val="0"/>
          <w:sz w:val="32"/>
          <w:szCs w:val="32"/>
        </w:rPr>
        <w:t>共收到信息公开申请0件，通过公开受理窗口当面提交的申请0件，同意公开0件。</w:t>
      </w:r>
    </w:p>
    <w:p>
      <w:pPr>
        <w:keepNext w:val="0"/>
        <w:keepLines w:val="0"/>
        <w:pageBreakBefore w:val="0"/>
        <w:widowControl/>
        <w:numPr>
          <w:ilvl w:val="0"/>
          <w:numId w:val="1"/>
        </w:numPr>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楷体" w:hAnsi="楷体" w:eastAsia="楷体" w:cs="楷体"/>
          <w:color w:val="000000"/>
          <w:kern w:val="0"/>
          <w:sz w:val="32"/>
          <w:szCs w:val="32"/>
        </w:rPr>
      </w:pPr>
      <w:r>
        <w:rPr>
          <w:rFonts w:hint="eastAsia" w:ascii="楷体" w:hAnsi="楷体" w:eastAsia="楷体" w:cs="楷体"/>
          <w:color w:val="000000"/>
          <w:kern w:val="0"/>
          <w:sz w:val="32"/>
          <w:szCs w:val="32"/>
        </w:rPr>
        <w:t>政府</w:t>
      </w:r>
      <w:r>
        <w:rPr>
          <w:rFonts w:hint="eastAsia" w:ascii="楷体" w:hAnsi="楷体" w:eastAsia="楷体" w:cs="楷体"/>
          <w:color w:val="000000"/>
          <w:kern w:val="0"/>
          <w:sz w:val="32"/>
          <w:szCs w:val="32"/>
          <w:lang w:val="en-US" w:eastAsia="zh-CN"/>
        </w:rPr>
        <w:t>信息资源的规范化、标准化管理情况</w:t>
      </w:r>
    </w:p>
    <w:p>
      <w:pPr>
        <w:keepNext w:val="0"/>
        <w:keepLines w:val="0"/>
        <w:pageBreakBefore w:val="0"/>
        <w:widowControl/>
        <w:numPr>
          <w:ilvl w:val="0"/>
          <w:numId w:val="0"/>
        </w:numPr>
        <w:kinsoku/>
        <w:wordWrap/>
        <w:overflowPunct/>
        <w:topLinePunct w:val="0"/>
        <w:autoSpaceDE/>
        <w:autoSpaceDN/>
        <w:bidi w:val="0"/>
        <w:adjustRightInd/>
        <w:snapToGrid/>
        <w:spacing w:line="240" w:lineRule="auto"/>
        <w:ind w:right="0" w:rightChars="0"/>
        <w:jc w:val="left"/>
        <w:textAlignment w:val="auto"/>
        <w:outlineLvl w:val="9"/>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val="en-US" w:eastAsia="zh-CN"/>
        </w:rPr>
        <w:t xml:space="preserve">    </w:t>
      </w:r>
      <w:r>
        <w:rPr>
          <w:rFonts w:hint="eastAsia" w:ascii="仿宋_GB2312" w:hAnsi="仿宋_GB2312" w:eastAsia="仿宋_GB2312" w:cs="仿宋_GB2312"/>
          <w:color w:val="000000"/>
          <w:kern w:val="0"/>
          <w:sz w:val="32"/>
          <w:szCs w:val="32"/>
        </w:rPr>
        <w:t xml:space="preserve"> </w:t>
      </w:r>
      <w:r>
        <w:rPr>
          <w:rFonts w:hint="eastAsia" w:ascii="仿宋_GB2312" w:hAnsi="仿宋_GB2312" w:eastAsia="仿宋_GB2312" w:cs="仿宋_GB2312"/>
          <w:b/>
          <w:bCs/>
          <w:color w:val="000000"/>
          <w:kern w:val="0"/>
          <w:sz w:val="32"/>
          <w:szCs w:val="32"/>
        </w:rPr>
        <w:t>一是</w:t>
      </w:r>
      <w:r>
        <w:rPr>
          <w:rFonts w:hint="eastAsia" w:ascii="仿宋_GB2312" w:hAnsi="仿宋_GB2312" w:eastAsia="仿宋_GB2312" w:cs="仿宋_GB2312"/>
          <w:color w:val="000000"/>
          <w:kern w:val="0"/>
          <w:sz w:val="32"/>
          <w:szCs w:val="32"/>
        </w:rPr>
        <w:t>加强组织领导。结合实际制定实施方案，明确了开展政务公开工作的指导思想和工作目标，提出了主要任务和工作措施，并逐项落实到各有关部门。工作中，加强各部门间的协调和配合，形成合力，共同推进政务公开工作的深入开展。</w:t>
      </w:r>
      <w:r>
        <w:rPr>
          <w:rFonts w:hint="eastAsia" w:ascii="仿宋_GB2312" w:hAnsi="仿宋_GB2312" w:eastAsia="仿宋_GB2312" w:cs="仿宋_GB2312"/>
          <w:b/>
          <w:bCs/>
          <w:color w:val="000000"/>
          <w:kern w:val="0"/>
          <w:sz w:val="32"/>
          <w:szCs w:val="32"/>
        </w:rPr>
        <w:t>二是</w:t>
      </w:r>
      <w:r>
        <w:rPr>
          <w:rFonts w:hint="eastAsia" w:ascii="仿宋_GB2312" w:hAnsi="仿宋_GB2312" w:eastAsia="仿宋_GB2312" w:cs="仿宋_GB2312"/>
          <w:color w:val="000000"/>
          <w:kern w:val="0"/>
          <w:sz w:val="32"/>
          <w:szCs w:val="32"/>
        </w:rPr>
        <w:t>按时公开2020年可公开的政府信息。</w:t>
      </w:r>
      <w:r>
        <w:rPr>
          <w:rFonts w:hint="eastAsia" w:ascii="仿宋_GB2312" w:hAnsi="仿宋_GB2312" w:eastAsia="仿宋_GB2312" w:cs="仿宋_GB2312"/>
          <w:b/>
          <w:bCs/>
          <w:color w:val="000000"/>
          <w:kern w:val="0"/>
          <w:sz w:val="32"/>
          <w:szCs w:val="32"/>
        </w:rPr>
        <w:t>三是</w:t>
      </w:r>
      <w:r>
        <w:rPr>
          <w:rFonts w:hint="eastAsia" w:ascii="仿宋_GB2312" w:hAnsi="仿宋_GB2312" w:eastAsia="仿宋_GB2312" w:cs="仿宋_GB2312"/>
          <w:color w:val="000000"/>
          <w:kern w:val="0"/>
          <w:sz w:val="32"/>
          <w:szCs w:val="32"/>
        </w:rPr>
        <w:t>规范公开内容，突出公开重点。按照“严格依法、全面真实、及时便民”的要求，进一步推动涉及公众性、公益性、公权性政府信息的全面、及时公开。</w:t>
      </w:r>
      <w:r>
        <w:rPr>
          <w:rFonts w:hint="eastAsia" w:ascii="仿宋_GB2312" w:hAnsi="仿宋_GB2312" w:eastAsia="仿宋_GB2312" w:cs="仿宋_GB2312"/>
          <w:b/>
          <w:bCs/>
          <w:color w:val="000000"/>
          <w:kern w:val="0"/>
          <w:sz w:val="32"/>
          <w:szCs w:val="32"/>
          <w:lang w:val="en-US" w:eastAsia="zh-CN"/>
        </w:rPr>
        <w:t>四</w:t>
      </w:r>
      <w:r>
        <w:rPr>
          <w:rFonts w:hint="eastAsia" w:ascii="仿宋_GB2312" w:hAnsi="仿宋_GB2312" w:eastAsia="仿宋_GB2312" w:cs="仿宋_GB2312"/>
          <w:b/>
          <w:bCs/>
          <w:color w:val="000000"/>
          <w:kern w:val="0"/>
          <w:sz w:val="32"/>
          <w:szCs w:val="32"/>
        </w:rPr>
        <w:t>是</w:t>
      </w:r>
      <w:r>
        <w:rPr>
          <w:rFonts w:hint="eastAsia" w:ascii="仿宋_GB2312" w:hAnsi="仿宋_GB2312" w:eastAsia="仿宋_GB2312" w:cs="仿宋_GB2312"/>
          <w:color w:val="000000"/>
          <w:kern w:val="0"/>
          <w:sz w:val="32"/>
          <w:szCs w:val="32"/>
        </w:rPr>
        <w:t>完善政府信息发布机制。按照《条例》的要求，加强</w:t>
      </w:r>
      <w:r>
        <w:rPr>
          <w:rFonts w:hint="eastAsia" w:ascii="仿宋_GB2312" w:hAnsi="仿宋_GB2312" w:eastAsia="仿宋_GB2312" w:cs="仿宋_GB2312"/>
          <w:color w:val="000000"/>
          <w:kern w:val="0"/>
          <w:sz w:val="32"/>
          <w:szCs w:val="32"/>
          <w:lang w:val="en-US" w:eastAsia="zh-CN"/>
        </w:rPr>
        <w:t>我办</w:t>
      </w:r>
      <w:r>
        <w:rPr>
          <w:rFonts w:hint="eastAsia" w:ascii="仿宋_GB2312" w:hAnsi="仿宋_GB2312" w:eastAsia="仿宋_GB2312" w:cs="仿宋_GB2312"/>
          <w:color w:val="000000"/>
          <w:kern w:val="0"/>
          <w:sz w:val="32"/>
          <w:szCs w:val="32"/>
        </w:rPr>
        <w:t>各部门、各社区信息报送工作，利用政府网站发布政务信息、公开本单位及社区的活动情况及民生工程进展情况。</w:t>
      </w:r>
    </w:p>
    <w:p>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楷体" w:hAnsi="楷体" w:eastAsia="楷体" w:cs="楷体"/>
          <w:color w:val="000000"/>
          <w:kern w:val="0"/>
          <w:sz w:val="32"/>
          <w:szCs w:val="32"/>
        </w:rPr>
      </w:pPr>
      <w:r>
        <w:rPr>
          <w:rFonts w:hint="eastAsia" w:ascii="楷体" w:hAnsi="楷体" w:eastAsia="楷体" w:cs="楷体"/>
          <w:color w:val="000000"/>
          <w:kern w:val="0"/>
          <w:sz w:val="32"/>
          <w:szCs w:val="32"/>
        </w:rPr>
        <w:t>（四）</w:t>
      </w:r>
      <w:r>
        <w:rPr>
          <w:rFonts w:hint="eastAsia" w:ascii="楷体" w:hAnsi="楷体" w:eastAsia="楷体" w:cs="楷体"/>
          <w:color w:val="000000"/>
          <w:kern w:val="0"/>
          <w:sz w:val="32"/>
          <w:szCs w:val="32"/>
          <w:lang w:val="en-US" w:eastAsia="zh-CN"/>
        </w:rPr>
        <w:t>政府信息公开</w:t>
      </w:r>
      <w:r>
        <w:rPr>
          <w:rFonts w:hint="eastAsia" w:ascii="楷体" w:hAnsi="楷体" w:eastAsia="楷体" w:cs="楷体"/>
          <w:color w:val="000000"/>
          <w:kern w:val="0"/>
          <w:sz w:val="32"/>
          <w:szCs w:val="32"/>
        </w:rPr>
        <w:t>平台建设</w:t>
      </w:r>
      <w:r>
        <w:rPr>
          <w:rFonts w:hint="eastAsia" w:ascii="楷体" w:hAnsi="楷体" w:eastAsia="楷体" w:cs="楷体"/>
          <w:color w:val="000000"/>
          <w:kern w:val="0"/>
          <w:sz w:val="32"/>
          <w:szCs w:val="32"/>
          <w:lang w:val="en-US" w:eastAsia="zh-CN"/>
        </w:rPr>
        <w:t>情况</w:t>
      </w:r>
    </w:p>
    <w:p>
      <w:pPr>
        <w:keepNext w:val="0"/>
        <w:keepLines w:val="0"/>
        <w:pageBreakBefore w:val="0"/>
        <w:widowControl/>
        <w:numPr>
          <w:ilvl w:val="0"/>
          <w:numId w:val="0"/>
        </w:numPr>
        <w:kinsoku/>
        <w:wordWrap/>
        <w:overflowPunct/>
        <w:topLinePunct w:val="0"/>
        <w:autoSpaceDE/>
        <w:autoSpaceDN/>
        <w:bidi w:val="0"/>
        <w:adjustRightInd/>
        <w:snapToGrid/>
        <w:spacing w:line="240" w:lineRule="auto"/>
        <w:ind w:right="0" w:rightChars="0"/>
        <w:jc w:val="left"/>
        <w:textAlignment w:val="auto"/>
        <w:outlineLvl w:val="9"/>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val="en-US" w:eastAsia="zh-CN"/>
        </w:rPr>
        <w:t xml:space="preserve">     荣校路街道办事处</w:t>
      </w:r>
      <w:r>
        <w:rPr>
          <w:rFonts w:hint="eastAsia" w:ascii="仿宋_GB2312" w:hAnsi="仿宋_GB2312" w:eastAsia="仿宋_GB2312" w:cs="仿宋_GB2312"/>
          <w:color w:val="000000"/>
          <w:kern w:val="0"/>
          <w:sz w:val="32"/>
          <w:szCs w:val="32"/>
        </w:rPr>
        <w:t xml:space="preserve">加强政府网站建设和管理，做好网站的内容保障工作，充分发挥政府网站信息公开第一平台作用。积极利用新媒介以及电子屏、信息公开栏等传统媒介，及时准确发布各类政务信息，保障群众的知情权、参与权、表达权和监督权。 </w:t>
      </w:r>
    </w:p>
    <w:p>
      <w:pPr>
        <w:keepNext w:val="0"/>
        <w:keepLines w:val="0"/>
        <w:pageBreakBefore w:val="0"/>
        <w:widowControl/>
        <w:numPr>
          <w:ilvl w:val="0"/>
          <w:numId w:val="0"/>
        </w:numPr>
        <w:kinsoku/>
        <w:wordWrap/>
        <w:overflowPunct/>
        <w:topLinePunct w:val="0"/>
        <w:autoSpaceDE/>
        <w:autoSpaceDN/>
        <w:bidi w:val="0"/>
        <w:adjustRightInd/>
        <w:snapToGrid/>
        <w:spacing w:line="240" w:lineRule="auto"/>
        <w:ind w:right="0" w:rightChars="0"/>
        <w:jc w:val="left"/>
        <w:textAlignment w:val="auto"/>
        <w:outlineLvl w:val="9"/>
        <w:rPr>
          <w:rFonts w:hint="eastAsia" w:ascii="楷体" w:hAnsi="楷体" w:eastAsia="楷体" w:cs="楷体"/>
          <w:color w:val="000000"/>
          <w:kern w:val="0"/>
          <w:sz w:val="32"/>
          <w:szCs w:val="32"/>
          <w:lang w:val="en-US" w:eastAsia="zh-CN"/>
        </w:rPr>
      </w:pPr>
      <w:r>
        <w:rPr>
          <w:rFonts w:hint="eastAsia" w:ascii="楷体" w:hAnsi="楷体" w:eastAsia="楷体" w:cs="楷体"/>
          <w:color w:val="000000"/>
          <w:kern w:val="0"/>
          <w:sz w:val="32"/>
          <w:szCs w:val="32"/>
          <w:lang w:val="en-US" w:eastAsia="zh-CN"/>
        </w:rPr>
        <w:t xml:space="preserve">   （五）政府信息公开监督保障情况</w:t>
      </w:r>
    </w:p>
    <w:p>
      <w:pPr>
        <w:keepNext w:val="0"/>
        <w:keepLines w:val="0"/>
        <w:pageBreakBefore w:val="0"/>
        <w:widowControl/>
        <w:numPr>
          <w:ilvl w:val="0"/>
          <w:numId w:val="0"/>
        </w:numPr>
        <w:kinsoku/>
        <w:wordWrap/>
        <w:overflowPunct/>
        <w:topLinePunct w:val="0"/>
        <w:autoSpaceDE/>
        <w:autoSpaceDN/>
        <w:bidi w:val="0"/>
        <w:adjustRightInd/>
        <w:snapToGrid/>
        <w:spacing w:line="240" w:lineRule="auto"/>
        <w:ind w:right="0" w:rightChars="0"/>
        <w:jc w:val="left"/>
        <w:textAlignment w:val="auto"/>
        <w:outlineLvl w:val="9"/>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 xml:space="preserve">    为使政府信息公开工作有序运转，荣校路街道办事处建立健全了工作机制及制度规范，明确职责、程序、公开方式和时限要求，进一步完善信息主动公开操作流程，并积极发挥党政办作为政府信息公开责任部门的作用，把政府信息公开纳入各科室的整体工作进行部署落实，建立起职责明确的领导机制和责任体系。</w:t>
      </w:r>
    </w:p>
    <w:p>
      <w:pPr>
        <w:keepNext w:val="0"/>
        <w:keepLines w:val="0"/>
        <w:pageBreakBefore w:val="0"/>
        <w:widowControl/>
        <w:numPr>
          <w:ilvl w:val="0"/>
          <w:numId w:val="2"/>
        </w:numPr>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黑体" w:hAnsi="黑体" w:eastAsia="黑体" w:cs="黑体"/>
          <w:color w:val="000000"/>
          <w:kern w:val="0"/>
          <w:sz w:val="32"/>
          <w:szCs w:val="32"/>
        </w:rPr>
      </w:pPr>
      <w:r>
        <w:rPr>
          <w:rFonts w:hint="eastAsia" w:ascii="黑体" w:hAnsi="黑体" w:eastAsia="黑体" w:cs="黑体"/>
          <w:color w:val="000000"/>
          <w:kern w:val="0"/>
          <w:sz w:val="32"/>
          <w:szCs w:val="32"/>
        </w:rPr>
        <w:t>主动公开政府信息情况</w:t>
      </w:r>
    </w:p>
    <w:tbl>
      <w:tblPr>
        <w:tblStyle w:val="3"/>
        <w:tblW w:w="8140" w:type="dxa"/>
        <w:jc w:val="center"/>
        <w:tblLayout w:type="fixed"/>
        <w:tblCellMar>
          <w:top w:w="0" w:type="dxa"/>
          <w:left w:w="0" w:type="dxa"/>
          <w:bottom w:w="0" w:type="dxa"/>
          <w:right w:w="0" w:type="dxa"/>
        </w:tblCellMar>
      </w:tblPr>
      <w:tblGrid>
        <w:gridCol w:w="3113"/>
        <w:gridCol w:w="1875"/>
        <w:gridCol w:w="6"/>
        <w:gridCol w:w="1265"/>
        <w:gridCol w:w="1881"/>
      </w:tblGrid>
      <w:tr>
        <w:tblPrEx>
          <w:tblCellMar>
            <w:top w:w="0" w:type="dxa"/>
            <w:left w:w="0" w:type="dxa"/>
            <w:bottom w:w="0" w:type="dxa"/>
            <w:right w:w="0" w:type="dxa"/>
          </w:tblCellMar>
        </w:tblPrEx>
        <w:trPr>
          <w:trHeight w:val="495" w:hRule="atLeast"/>
          <w:jc w:val="center"/>
        </w:trPr>
        <w:tc>
          <w:tcPr>
            <w:tcW w:w="8140" w:type="dxa"/>
            <w:gridSpan w:val="5"/>
            <w:tcBorders>
              <w:top w:val="single" w:color="auto" w:sz="8" w:space="0"/>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第二十条第（一）项</w:t>
            </w:r>
          </w:p>
        </w:tc>
      </w:tr>
      <w:tr>
        <w:tblPrEx>
          <w:tblCellMar>
            <w:top w:w="0" w:type="dxa"/>
            <w:left w:w="0" w:type="dxa"/>
            <w:bottom w:w="0" w:type="dxa"/>
            <w:right w:w="0"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信息内容</w:t>
            </w:r>
          </w:p>
        </w:tc>
        <w:tc>
          <w:tcPr>
            <w:tcW w:w="187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本年新</w:t>
            </w:r>
            <w:r>
              <w:rPr>
                <w:rFonts w:hint="eastAsia" w:ascii="宋体" w:hAnsi="宋体" w:cs="宋体"/>
                <w:color w:val="000000"/>
                <w:kern w:val="0"/>
                <w:sz w:val="20"/>
                <w:szCs w:val="20"/>
              </w:rPr>
              <w:br w:type="textWrapping"/>
            </w:r>
            <w:r>
              <w:rPr>
                <w:rFonts w:ascii="宋体" w:hAnsi="宋体" w:cs="宋体"/>
                <w:kern w:val="0"/>
                <w:sz w:val="20"/>
                <w:szCs w:val="20"/>
              </w:rPr>
              <w:t>制作数量</w:t>
            </w:r>
          </w:p>
        </w:tc>
        <w:tc>
          <w:tcPr>
            <w:tcW w:w="1271" w:type="dxa"/>
            <w:gridSpan w:val="2"/>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本年新</w:t>
            </w:r>
            <w:r>
              <w:rPr>
                <w:rFonts w:hint="eastAsia" w:ascii="宋体" w:hAnsi="宋体" w:cs="宋体"/>
                <w:color w:val="000000"/>
                <w:kern w:val="0"/>
                <w:sz w:val="20"/>
                <w:szCs w:val="20"/>
              </w:rPr>
              <w:br w:type="textWrapping"/>
            </w:r>
            <w:r>
              <w:rPr>
                <w:rFonts w:ascii="宋体" w:hAnsi="宋体" w:cs="宋体"/>
                <w:kern w:val="0"/>
                <w:sz w:val="20"/>
                <w:szCs w:val="20"/>
              </w:rPr>
              <w:t>公开数量</w:t>
            </w:r>
          </w:p>
        </w:tc>
        <w:tc>
          <w:tcPr>
            <w:tcW w:w="188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对外公开总数量</w:t>
            </w:r>
          </w:p>
        </w:tc>
      </w:tr>
      <w:tr>
        <w:tblPrEx>
          <w:tblCellMar>
            <w:top w:w="0" w:type="dxa"/>
            <w:left w:w="0" w:type="dxa"/>
            <w:bottom w:w="0" w:type="dxa"/>
            <w:right w:w="0"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规章</w:t>
            </w:r>
          </w:p>
        </w:tc>
        <w:tc>
          <w:tcPr>
            <w:tcW w:w="187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127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188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r>
      <w:tr>
        <w:tblPrEx>
          <w:tblCellMar>
            <w:top w:w="0" w:type="dxa"/>
            <w:left w:w="0" w:type="dxa"/>
            <w:bottom w:w="0" w:type="dxa"/>
            <w:right w:w="0"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规范性文件</w:t>
            </w:r>
          </w:p>
        </w:tc>
        <w:tc>
          <w:tcPr>
            <w:tcW w:w="187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127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188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r>
      <w:tr>
        <w:tblPrEx>
          <w:tblCellMar>
            <w:top w:w="0" w:type="dxa"/>
            <w:left w:w="0" w:type="dxa"/>
            <w:bottom w:w="0" w:type="dxa"/>
            <w:right w:w="0" w:type="dxa"/>
          </w:tblCellMar>
        </w:tblPrEx>
        <w:trPr>
          <w:trHeight w:val="480"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第二十条第（五）项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信息内容</w:t>
            </w:r>
          </w:p>
        </w:tc>
        <w:tc>
          <w:tcPr>
            <w:tcW w:w="187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上一年项目数量</w:t>
            </w:r>
          </w:p>
        </w:tc>
        <w:tc>
          <w:tcPr>
            <w:tcW w:w="1271" w:type="dxa"/>
            <w:gridSpan w:val="2"/>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本年增/减</w:t>
            </w:r>
          </w:p>
        </w:tc>
        <w:tc>
          <w:tcPr>
            <w:tcW w:w="188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处理决定数量</w:t>
            </w:r>
          </w:p>
        </w:tc>
      </w:tr>
      <w:tr>
        <w:tblPrEx>
          <w:tblCellMar>
            <w:top w:w="0" w:type="dxa"/>
            <w:left w:w="0" w:type="dxa"/>
            <w:bottom w:w="0" w:type="dxa"/>
            <w:right w:w="0"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行政许可</w:t>
            </w:r>
          </w:p>
        </w:tc>
        <w:tc>
          <w:tcPr>
            <w:tcW w:w="188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12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188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r>
      <w:tr>
        <w:tblPrEx>
          <w:tblCellMar>
            <w:top w:w="0" w:type="dxa"/>
            <w:left w:w="0" w:type="dxa"/>
            <w:bottom w:w="0" w:type="dxa"/>
            <w:right w:w="0"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其他对外管理服务事项</w:t>
            </w:r>
          </w:p>
        </w:tc>
        <w:tc>
          <w:tcPr>
            <w:tcW w:w="188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eastAsia" w:ascii="宋体" w:hAnsi="宋体" w:eastAsia="宋体" w:cs="宋体"/>
                <w:kern w:val="0"/>
                <w:sz w:val="24"/>
                <w:szCs w:val="24"/>
                <w:lang w:eastAsia="zh-CN"/>
              </w:rPr>
            </w:pPr>
            <w:r>
              <w:rPr>
                <w:rFonts w:hint="eastAsia" w:ascii="宋体" w:hAnsi="宋体" w:cs="宋体"/>
                <w:color w:val="000000"/>
                <w:kern w:val="0"/>
                <w:sz w:val="20"/>
                <w:szCs w:val="20"/>
                <w:lang w:val="en-US" w:eastAsia="zh-CN"/>
              </w:rPr>
              <w:t xml:space="preserve">  0</w:t>
            </w:r>
          </w:p>
        </w:tc>
        <w:tc>
          <w:tcPr>
            <w:tcW w:w="12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lang w:val="en-US" w:eastAsia="zh-CN"/>
              </w:rPr>
              <w:t xml:space="preserve">  0</w:t>
            </w:r>
          </w:p>
        </w:tc>
        <w:tc>
          <w:tcPr>
            <w:tcW w:w="188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r>
      <w:tr>
        <w:tblPrEx>
          <w:tblCellMar>
            <w:top w:w="0" w:type="dxa"/>
            <w:left w:w="0" w:type="dxa"/>
            <w:bottom w:w="0" w:type="dxa"/>
            <w:right w:w="0" w:type="dxa"/>
          </w:tblCellMar>
        </w:tblPrEx>
        <w:trPr>
          <w:trHeight w:val="406"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第二十条第（六）项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信息内容</w:t>
            </w:r>
          </w:p>
        </w:tc>
        <w:tc>
          <w:tcPr>
            <w:tcW w:w="187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上一年项目数量</w:t>
            </w:r>
          </w:p>
        </w:tc>
        <w:tc>
          <w:tcPr>
            <w:tcW w:w="1271" w:type="dxa"/>
            <w:gridSpan w:val="2"/>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本年增/减</w:t>
            </w:r>
          </w:p>
        </w:tc>
        <w:tc>
          <w:tcPr>
            <w:tcW w:w="188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处理决定数量</w:t>
            </w:r>
          </w:p>
        </w:tc>
      </w:tr>
      <w:tr>
        <w:tblPrEx>
          <w:tblCellMar>
            <w:top w:w="0" w:type="dxa"/>
            <w:left w:w="0" w:type="dxa"/>
            <w:bottom w:w="0" w:type="dxa"/>
            <w:right w:w="0" w:type="dxa"/>
          </w:tblCellMar>
        </w:tblPrEx>
        <w:trPr>
          <w:trHeight w:val="430" w:hRule="atLeast"/>
          <w:jc w:val="center"/>
        </w:trPr>
        <w:tc>
          <w:tcPr>
            <w:tcW w:w="3113"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行政处罚</w:t>
            </w:r>
          </w:p>
        </w:tc>
        <w:tc>
          <w:tcPr>
            <w:tcW w:w="188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12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eastAsia" w:ascii="宋体" w:hAnsi="宋体" w:eastAsia="宋体" w:cs="宋体"/>
                <w:kern w:val="0"/>
                <w:sz w:val="24"/>
                <w:szCs w:val="24"/>
                <w:lang w:eastAsia="zh-CN"/>
              </w:rPr>
            </w:pPr>
            <w:r>
              <w:rPr>
                <w:rFonts w:hint="eastAsia" w:ascii="宋体" w:hAnsi="宋体" w:cs="宋体"/>
                <w:color w:val="000000"/>
                <w:kern w:val="0"/>
                <w:sz w:val="20"/>
                <w:szCs w:val="20"/>
                <w:lang w:val="en-US" w:eastAsia="zh-CN"/>
              </w:rPr>
              <w:t xml:space="preserve">  0</w:t>
            </w:r>
          </w:p>
        </w:tc>
        <w:tc>
          <w:tcPr>
            <w:tcW w:w="188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r>
      <w:tr>
        <w:tblPrEx>
          <w:tblCellMar>
            <w:top w:w="0" w:type="dxa"/>
            <w:left w:w="0" w:type="dxa"/>
            <w:bottom w:w="0" w:type="dxa"/>
            <w:right w:w="0" w:type="dxa"/>
          </w:tblCellMar>
        </w:tblPrEx>
        <w:trPr>
          <w:trHeight w:val="409" w:hRule="atLeast"/>
          <w:jc w:val="center"/>
        </w:trPr>
        <w:tc>
          <w:tcPr>
            <w:tcW w:w="3113"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行政强制</w:t>
            </w:r>
          </w:p>
        </w:tc>
        <w:tc>
          <w:tcPr>
            <w:tcW w:w="188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12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188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r>
      <w:tr>
        <w:tblPrEx>
          <w:tblCellMar>
            <w:top w:w="0" w:type="dxa"/>
            <w:left w:w="0" w:type="dxa"/>
            <w:bottom w:w="0" w:type="dxa"/>
            <w:right w:w="0" w:type="dxa"/>
          </w:tblCellMar>
        </w:tblPrEx>
        <w:trPr>
          <w:trHeight w:val="474"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第二十条第（八）项</w:t>
            </w:r>
          </w:p>
        </w:tc>
      </w:tr>
      <w:tr>
        <w:tblPrEx>
          <w:tblCellMar>
            <w:top w:w="0" w:type="dxa"/>
            <w:left w:w="0" w:type="dxa"/>
            <w:bottom w:w="0" w:type="dxa"/>
            <w:right w:w="0"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信息内容</w:t>
            </w:r>
          </w:p>
        </w:tc>
        <w:tc>
          <w:tcPr>
            <w:tcW w:w="188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上一年项目数量</w:t>
            </w:r>
          </w:p>
        </w:tc>
        <w:tc>
          <w:tcPr>
            <w:tcW w:w="3146" w:type="dxa"/>
            <w:gridSpan w:val="2"/>
            <w:tcBorders>
              <w:top w:val="single" w:color="auto" w:sz="8" w:space="0"/>
              <w:left w:val="nil"/>
              <w:bottom w:val="single" w:color="auto" w:sz="8" w:space="0"/>
              <w:right w:val="single" w:color="000000"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本年增/减</w:t>
            </w:r>
          </w:p>
        </w:tc>
      </w:tr>
      <w:tr>
        <w:tblPrEx>
          <w:tblCellMar>
            <w:top w:w="0" w:type="dxa"/>
            <w:left w:w="0" w:type="dxa"/>
            <w:bottom w:w="0" w:type="dxa"/>
            <w:right w:w="0"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行政事业性收费</w:t>
            </w:r>
          </w:p>
        </w:tc>
        <w:tc>
          <w:tcPr>
            <w:tcW w:w="188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3146" w:type="dxa"/>
            <w:gridSpan w:val="2"/>
            <w:tcBorders>
              <w:top w:val="nil"/>
              <w:left w:val="nil"/>
              <w:bottom w:val="single" w:color="auto" w:sz="8" w:space="0"/>
              <w:right w:val="single" w:color="000000"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r>
      <w:tr>
        <w:tblPrEx>
          <w:tblCellMar>
            <w:top w:w="0" w:type="dxa"/>
            <w:left w:w="0" w:type="dxa"/>
            <w:bottom w:w="0" w:type="dxa"/>
            <w:right w:w="0" w:type="dxa"/>
          </w:tblCellMar>
        </w:tblPrEx>
        <w:trPr>
          <w:trHeight w:val="476"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第二十条第（九）项</w:t>
            </w:r>
          </w:p>
        </w:tc>
      </w:tr>
      <w:tr>
        <w:tblPrEx>
          <w:tblCellMar>
            <w:top w:w="0" w:type="dxa"/>
            <w:left w:w="0" w:type="dxa"/>
            <w:bottom w:w="0" w:type="dxa"/>
            <w:right w:w="0" w:type="dxa"/>
          </w:tblCellMar>
        </w:tblPrEx>
        <w:trPr>
          <w:trHeight w:val="585" w:hRule="atLeast"/>
          <w:jc w:val="center"/>
        </w:trPr>
        <w:tc>
          <w:tcPr>
            <w:tcW w:w="3113"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信息内容</w:t>
            </w:r>
          </w:p>
        </w:tc>
        <w:tc>
          <w:tcPr>
            <w:tcW w:w="188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采购项目数量</w:t>
            </w:r>
          </w:p>
        </w:tc>
        <w:tc>
          <w:tcPr>
            <w:tcW w:w="3146" w:type="dxa"/>
            <w:gridSpan w:val="2"/>
            <w:tcBorders>
              <w:top w:val="single" w:color="auto" w:sz="8" w:space="0"/>
              <w:left w:val="nil"/>
              <w:bottom w:val="single" w:color="auto" w:sz="8" w:space="0"/>
              <w:right w:val="single" w:color="000000"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采购总金额</w:t>
            </w:r>
            <w:r>
              <w:rPr>
                <w:rFonts w:hint="eastAsia" w:ascii="宋体" w:hAnsi="宋体" w:cs="宋体"/>
                <w:color w:val="000000"/>
                <w:kern w:val="0"/>
                <w:sz w:val="20"/>
                <w:szCs w:val="20"/>
                <w:lang w:eastAsia="zh-CN"/>
              </w:rPr>
              <w:t>（</w:t>
            </w:r>
            <w:r>
              <w:rPr>
                <w:rFonts w:hint="eastAsia" w:ascii="宋体" w:hAnsi="宋体" w:cs="宋体"/>
                <w:color w:val="000000"/>
                <w:kern w:val="0"/>
                <w:sz w:val="20"/>
                <w:szCs w:val="20"/>
                <w:lang w:val="en-US" w:eastAsia="zh-CN"/>
              </w:rPr>
              <w:t>单位：万元 保留4位小数</w:t>
            </w:r>
            <w:bookmarkStart w:id="0" w:name="_GoBack"/>
            <w:bookmarkEnd w:id="0"/>
            <w:r>
              <w:rPr>
                <w:rFonts w:hint="eastAsia" w:ascii="宋体" w:hAnsi="宋体" w:cs="宋体"/>
                <w:color w:val="000000"/>
                <w:kern w:val="0"/>
                <w:sz w:val="20"/>
                <w:szCs w:val="20"/>
                <w:lang w:eastAsia="zh-CN"/>
              </w:rPr>
              <w:t>）</w:t>
            </w:r>
          </w:p>
        </w:tc>
      </w:tr>
      <w:tr>
        <w:tblPrEx>
          <w:tblCellMar>
            <w:top w:w="0" w:type="dxa"/>
            <w:left w:w="0" w:type="dxa"/>
            <w:bottom w:w="0" w:type="dxa"/>
            <w:right w:w="0" w:type="dxa"/>
          </w:tblCellMar>
        </w:tblPrEx>
        <w:trPr>
          <w:trHeight w:val="539" w:hRule="atLeast"/>
          <w:jc w:val="center"/>
        </w:trPr>
        <w:tc>
          <w:tcPr>
            <w:tcW w:w="3113"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政府集中采购</w:t>
            </w:r>
          </w:p>
        </w:tc>
        <w:tc>
          <w:tcPr>
            <w:tcW w:w="188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3146" w:type="dxa"/>
            <w:gridSpan w:val="2"/>
            <w:tcBorders>
              <w:top w:val="nil"/>
              <w:left w:val="nil"/>
              <w:bottom w:val="single" w:color="auto" w:sz="8" w:space="0"/>
              <w:right w:val="single" w:color="000000" w:sz="8" w:space="0"/>
            </w:tcBorders>
            <w:tcMar>
              <w:top w:w="0" w:type="dxa"/>
              <w:left w:w="108" w:type="dxa"/>
              <w:bottom w:w="0" w:type="dxa"/>
              <w:right w:w="108" w:type="dxa"/>
            </w:tcMar>
            <w:vAlign w:val="center"/>
          </w:tcPr>
          <w:p>
            <w:pPr>
              <w:widowControl/>
              <w:jc w:val="center"/>
              <w:rPr>
                <w:rFonts w:hint="eastAsia" w:ascii="宋体" w:hAnsi="宋体" w:eastAsia="宋体" w:cs="宋体"/>
                <w:kern w:val="0"/>
                <w:sz w:val="24"/>
                <w:szCs w:val="24"/>
                <w:lang w:val="en-US" w:eastAsia="zh-CN"/>
              </w:rPr>
            </w:pPr>
            <w:r>
              <w:rPr>
                <w:rFonts w:hint="eastAsia" w:ascii="宋体" w:hAnsi="宋体" w:cs="宋体"/>
                <w:kern w:val="0"/>
                <w:sz w:val="24"/>
                <w:szCs w:val="24"/>
                <w:lang w:val="en-US" w:eastAsia="zh-CN"/>
              </w:rPr>
              <w:t>0</w:t>
            </w:r>
          </w:p>
        </w:tc>
      </w:tr>
    </w:tbl>
    <w:p>
      <w:pPr>
        <w:widowControl/>
        <w:shd w:val="clear" w:color="auto" w:fill="FFFFFF"/>
        <w:spacing w:after="240"/>
        <w:ind w:firstLine="480"/>
        <w:rPr>
          <w:rFonts w:hint="eastAsia" w:ascii="宋体" w:hAnsi="宋体" w:cs="宋体"/>
          <w:b/>
          <w:bCs/>
          <w:color w:val="333333"/>
          <w:kern w:val="0"/>
          <w:sz w:val="24"/>
          <w:szCs w:val="24"/>
        </w:rPr>
      </w:pPr>
      <w:r>
        <w:rPr>
          <w:rFonts w:hint="eastAsia" w:ascii="黑体" w:hAnsi="黑体" w:eastAsia="黑体" w:cs="黑体"/>
          <w:b w:val="0"/>
          <w:bCs w:val="0"/>
          <w:color w:val="333333"/>
          <w:kern w:val="0"/>
          <w:sz w:val="32"/>
          <w:szCs w:val="32"/>
        </w:rPr>
        <w:t>三、收到和处理政府信息公开申请情况</w:t>
      </w:r>
    </w:p>
    <w:tbl>
      <w:tblPr>
        <w:tblStyle w:val="3"/>
        <w:tblW w:w="9071" w:type="dxa"/>
        <w:jc w:val="center"/>
        <w:tblLayout w:type="fixed"/>
        <w:tblCellMar>
          <w:top w:w="0" w:type="dxa"/>
          <w:left w:w="0" w:type="dxa"/>
          <w:bottom w:w="0" w:type="dxa"/>
          <w:right w:w="0" w:type="dxa"/>
        </w:tblCellMar>
      </w:tblPr>
      <w:tblGrid>
        <w:gridCol w:w="616"/>
        <w:gridCol w:w="854"/>
        <w:gridCol w:w="2086"/>
        <w:gridCol w:w="813"/>
        <w:gridCol w:w="755"/>
        <w:gridCol w:w="755"/>
        <w:gridCol w:w="813"/>
        <w:gridCol w:w="973"/>
        <w:gridCol w:w="711"/>
        <w:gridCol w:w="695"/>
      </w:tblGrid>
      <w:tr>
        <w:tblPrEx>
          <w:tblCellMar>
            <w:top w:w="0" w:type="dxa"/>
            <w:left w:w="0" w:type="dxa"/>
            <w:bottom w:w="0" w:type="dxa"/>
            <w:right w:w="0" w:type="dxa"/>
          </w:tblCellMar>
        </w:tblPrEx>
        <w:trPr>
          <w:jc w:val="center"/>
        </w:trPr>
        <w:tc>
          <w:tcPr>
            <w:tcW w:w="3556" w:type="dxa"/>
            <w:gridSpan w:val="3"/>
            <w:vMerge w:val="restart"/>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（本列数据的勾稽关系为：第一项加第二项之和，等于第三项加第四项之和）</w:t>
            </w:r>
          </w:p>
        </w:tc>
        <w:tc>
          <w:tcPr>
            <w:tcW w:w="5515" w:type="dxa"/>
            <w:gridSpan w:val="7"/>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申请人情况</w:t>
            </w:r>
          </w:p>
        </w:tc>
      </w:tr>
      <w:tr>
        <w:tblPrEx>
          <w:tblCellMar>
            <w:top w:w="0" w:type="dxa"/>
            <w:left w:w="0" w:type="dxa"/>
            <w:bottom w:w="0" w:type="dxa"/>
            <w:right w:w="0" w:type="dxa"/>
          </w:tblCellMar>
        </w:tblPrEx>
        <w:trPr>
          <w:jc w:val="center"/>
        </w:trPr>
        <w:tc>
          <w:tcPr>
            <w:tcW w:w="3556" w:type="dxa"/>
            <w:gridSpan w:val="3"/>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宋体" w:hAnsi="宋体" w:cs="宋体"/>
                <w:kern w:val="0"/>
                <w:sz w:val="24"/>
                <w:szCs w:val="24"/>
              </w:rPr>
            </w:pPr>
          </w:p>
        </w:tc>
        <w:tc>
          <w:tcPr>
            <w:tcW w:w="813"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自然人</w:t>
            </w:r>
          </w:p>
        </w:tc>
        <w:tc>
          <w:tcPr>
            <w:tcW w:w="4007" w:type="dxa"/>
            <w:gridSpan w:val="5"/>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法人或其他组织</w:t>
            </w:r>
          </w:p>
        </w:tc>
        <w:tc>
          <w:tcPr>
            <w:tcW w:w="695" w:type="dxa"/>
            <w:vMerge w:val="restart"/>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总计</w:t>
            </w:r>
          </w:p>
        </w:tc>
      </w:tr>
      <w:tr>
        <w:tblPrEx>
          <w:tblCellMar>
            <w:top w:w="0" w:type="dxa"/>
            <w:left w:w="0" w:type="dxa"/>
            <w:bottom w:w="0" w:type="dxa"/>
            <w:right w:w="0" w:type="dxa"/>
          </w:tblCellMar>
        </w:tblPrEx>
        <w:trPr>
          <w:jc w:val="center"/>
        </w:trPr>
        <w:tc>
          <w:tcPr>
            <w:tcW w:w="3556" w:type="dxa"/>
            <w:gridSpan w:val="3"/>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ascii="宋体" w:hAnsi="宋体" w:cs="宋体"/>
                <w:kern w:val="0"/>
                <w:sz w:val="24"/>
                <w:szCs w:val="24"/>
              </w:rPr>
            </w:pPr>
          </w:p>
        </w:tc>
        <w:tc>
          <w:tcPr>
            <w:tcW w:w="813" w:type="dxa"/>
            <w:vMerge w:val="continue"/>
            <w:tcBorders>
              <w:top w:val="nil"/>
              <w:left w:val="nil"/>
              <w:bottom w:val="single" w:color="auto" w:sz="8" w:space="0"/>
              <w:right w:val="single" w:color="auto" w:sz="8" w:space="0"/>
            </w:tcBorders>
            <w:vAlign w:val="center"/>
          </w:tcPr>
          <w:p>
            <w:pPr>
              <w:widowControl/>
              <w:jc w:val="left"/>
              <w:rPr>
                <w:rFonts w:ascii="宋体" w:hAnsi="宋体" w:cs="宋体"/>
                <w:kern w:val="0"/>
                <w:sz w:val="24"/>
                <w:szCs w:val="24"/>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商业企业</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科研机构</w:t>
            </w:r>
          </w:p>
        </w:tc>
        <w:tc>
          <w:tcPr>
            <w:tcW w:w="813"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社会公益组织</w:t>
            </w:r>
          </w:p>
        </w:tc>
        <w:tc>
          <w:tcPr>
            <w:tcW w:w="973"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法律服务机构</w:t>
            </w:r>
          </w:p>
        </w:tc>
        <w:tc>
          <w:tcPr>
            <w:tcW w:w="711"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其他</w:t>
            </w:r>
          </w:p>
        </w:tc>
        <w:tc>
          <w:tcPr>
            <w:tcW w:w="695" w:type="dxa"/>
            <w:vMerge w:val="continue"/>
            <w:tcBorders>
              <w:top w:val="single" w:color="auto" w:sz="8" w:space="0"/>
              <w:left w:val="nil"/>
              <w:bottom w:val="single" w:color="auto" w:sz="8" w:space="0"/>
              <w:right w:val="single" w:color="auto" w:sz="8" w:space="0"/>
            </w:tcBorders>
            <w:vAlign w:val="center"/>
          </w:tcPr>
          <w:p>
            <w:pPr>
              <w:widowControl/>
              <w:jc w:val="left"/>
              <w:rPr>
                <w:rFonts w:ascii="宋体" w:hAnsi="宋体" w:cs="宋体"/>
                <w:kern w:val="0"/>
                <w:sz w:val="24"/>
                <w:szCs w:val="24"/>
              </w:rPr>
            </w:pPr>
          </w:p>
        </w:tc>
      </w:tr>
      <w:tr>
        <w:tblPrEx>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kern w:val="0"/>
                <w:sz w:val="20"/>
                <w:szCs w:val="20"/>
              </w:rPr>
              <w:t>一、本年新收政府信息公开申请数量</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r>
      <w:tr>
        <w:tblPrEx>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kern w:val="0"/>
                <w:sz w:val="20"/>
                <w:szCs w:val="20"/>
              </w:rPr>
              <w:t>二、上年结转政府信息公开申请数量</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r>
      <w:tr>
        <w:tblPrEx>
          <w:tblCellMar>
            <w:top w:w="0" w:type="dxa"/>
            <w:left w:w="0" w:type="dxa"/>
            <w:bottom w:w="0" w:type="dxa"/>
            <w:right w:w="0" w:type="dxa"/>
          </w:tblCellMar>
        </w:tblPrEx>
        <w:trPr>
          <w:jc w:val="center"/>
        </w:trPr>
        <w:tc>
          <w:tcPr>
            <w:tcW w:w="616" w:type="dxa"/>
            <w:vMerge w:val="restart"/>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三、本年度办理结果</w:t>
            </w:r>
          </w:p>
        </w:tc>
        <w:tc>
          <w:tcPr>
            <w:tcW w:w="2940"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楷体" w:hAnsi="楷体" w:eastAsia="楷体" w:cs="宋体"/>
                <w:kern w:val="0"/>
                <w:sz w:val="20"/>
                <w:szCs w:val="20"/>
              </w:rPr>
              <w:t>（一）予以公开</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69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r>
      <w:tr>
        <w:tblPrEx>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vAlign w:val="center"/>
          </w:tcPr>
          <w:p>
            <w:pPr>
              <w:widowControl/>
              <w:jc w:val="left"/>
              <w:rPr>
                <w:rFonts w:ascii="宋体" w:hAnsi="宋体" w:cs="宋体"/>
                <w:kern w:val="0"/>
                <w:sz w:val="24"/>
                <w:szCs w:val="24"/>
              </w:rPr>
            </w:pPr>
          </w:p>
        </w:tc>
        <w:tc>
          <w:tcPr>
            <w:tcW w:w="2940"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楷体" w:hAnsi="楷体" w:eastAsia="楷体" w:cs="宋体"/>
                <w:kern w:val="0"/>
                <w:sz w:val="20"/>
                <w:szCs w:val="20"/>
              </w:rPr>
              <w:t>（二）部分公开（区分处理的，只计这一情形，不计其他情形）</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r>
      <w:tr>
        <w:tblPrEx>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vAlign w:val="center"/>
          </w:tcPr>
          <w:p>
            <w:pPr>
              <w:widowControl/>
              <w:jc w:val="left"/>
              <w:rPr>
                <w:rFonts w:ascii="宋体" w:hAnsi="宋体" w:cs="宋体"/>
                <w:kern w:val="0"/>
                <w:sz w:val="24"/>
                <w:szCs w:val="24"/>
              </w:rPr>
            </w:pPr>
          </w:p>
        </w:tc>
        <w:tc>
          <w:tcPr>
            <w:tcW w:w="854"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楷体" w:hAnsi="楷体" w:eastAsia="楷体" w:cs="宋体"/>
                <w:kern w:val="0"/>
                <w:sz w:val="20"/>
                <w:szCs w:val="20"/>
              </w:rPr>
              <w:t>（三）不予公开</w:t>
            </w:r>
          </w:p>
        </w:tc>
        <w:tc>
          <w:tcPr>
            <w:tcW w:w="208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楷体" w:hAnsi="楷体" w:eastAsia="楷体" w:cs="宋体"/>
                <w:kern w:val="0"/>
                <w:sz w:val="20"/>
                <w:szCs w:val="20"/>
              </w:rPr>
              <w:t>1.属于国家秘密</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69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r>
      <w:tr>
        <w:tblPrEx>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vAlign w:val="center"/>
          </w:tcPr>
          <w:p>
            <w:pPr>
              <w:widowControl/>
              <w:jc w:val="left"/>
              <w:rPr>
                <w:rFonts w:ascii="宋体" w:hAnsi="宋体" w:cs="宋体"/>
                <w:kern w:val="0"/>
                <w:sz w:val="24"/>
                <w:szCs w:val="24"/>
              </w:rPr>
            </w:pPr>
          </w:p>
        </w:tc>
        <w:tc>
          <w:tcPr>
            <w:tcW w:w="854" w:type="dxa"/>
            <w:vMerge w:val="continue"/>
            <w:tcBorders>
              <w:top w:val="nil"/>
              <w:left w:val="nil"/>
              <w:bottom w:val="single" w:color="auto" w:sz="8" w:space="0"/>
              <w:right w:val="single" w:color="auto" w:sz="8" w:space="0"/>
            </w:tcBorders>
            <w:vAlign w:val="center"/>
          </w:tcPr>
          <w:p>
            <w:pPr>
              <w:widowControl/>
              <w:jc w:val="left"/>
              <w:rPr>
                <w:rFonts w:ascii="宋体" w:hAnsi="宋体" w:cs="宋体"/>
                <w:kern w:val="0"/>
                <w:sz w:val="24"/>
                <w:szCs w:val="24"/>
              </w:rPr>
            </w:pPr>
          </w:p>
        </w:tc>
        <w:tc>
          <w:tcPr>
            <w:tcW w:w="208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楷体" w:hAnsi="楷体" w:eastAsia="楷体" w:cs="宋体"/>
                <w:kern w:val="0"/>
                <w:sz w:val="20"/>
                <w:szCs w:val="20"/>
              </w:rPr>
              <w:t>2.其他法律行政法规禁止公开</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r>
      <w:tr>
        <w:tblPrEx>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vAlign w:val="center"/>
          </w:tcPr>
          <w:p>
            <w:pPr>
              <w:widowControl/>
              <w:jc w:val="left"/>
              <w:rPr>
                <w:rFonts w:ascii="宋体" w:hAnsi="宋体" w:cs="宋体"/>
                <w:kern w:val="0"/>
                <w:sz w:val="24"/>
                <w:szCs w:val="24"/>
              </w:rPr>
            </w:pPr>
          </w:p>
        </w:tc>
        <w:tc>
          <w:tcPr>
            <w:tcW w:w="854" w:type="dxa"/>
            <w:vMerge w:val="continue"/>
            <w:tcBorders>
              <w:top w:val="nil"/>
              <w:left w:val="nil"/>
              <w:bottom w:val="single" w:color="auto" w:sz="8" w:space="0"/>
              <w:right w:val="single" w:color="auto" w:sz="8" w:space="0"/>
            </w:tcBorders>
            <w:vAlign w:val="center"/>
          </w:tcPr>
          <w:p>
            <w:pPr>
              <w:widowControl/>
              <w:jc w:val="left"/>
              <w:rPr>
                <w:rFonts w:ascii="宋体" w:hAnsi="宋体" w:cs="宋体"/>
                <w:kern w:val="0"/>
                <w:sz w:val="24"/>
                <w:szCs w:val="24"/>
              </w:rPr>
            </w:pPr>
          </w:p>
        </w:tc>
        <w:tc>
          <w:tcPr>
            <w:tcW w:w="208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楷体" w:hAnsi="楷体" w:eastAsia="楷体" w:cs="宋体"/>
                <w:kern w:val="0"/>
                <w:sz w:val="20"/>
                <w:szCs w:val="20"/>
              </w:rPr>
              <w:t>3.危及“三安全一稳定”</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r>
      <w:tr>
        <w:tblPrEx>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vAlign w:val="center"/>
          </w:tcPr>
          <w:p>
            <w:pPr>
              <w:widowControl/>
              <w:jc w:val="left"/>
              <w:rPr>
                <w:rFonts w:ascii="宋体" w:hAnsi="宋体" w:cs="宋体"/>
                <w:kern w:val="0"/>
                <w:sz w:val="24"/>
                <w:szCs w:val="24"/>
              </w:rPr>
            </w:pPr>
          </w:p>
        </w:tc>
        <w:tc>
          <w:tcPr>
            <w:tcW w:w="854" w:type="dxa"/>
            <w:vMerge w:val="continue"/>
            <w:tcBorders>
              <w:top w:val="nil"/>
              <w:left w:val="nil"/>
              <w:bottom w:val="single" w:color="auto" w:sz="8" w:space="0"/>
              <w:right w:val="single" w:color="auto" w:sz="8" w:space="0"/>
            </w:tcBorders>
            <w:vAlign w:val="center"/>
          </w:tcPr>
          <w:p>
            <w:pPr>
              <w:widowControl/>
              <w:jc w:val="left"/>
              <w:rPr>
                <w:rFonts w:ascii="宋体" w:hAnsi="宋体" w:cs="宋体"/>
                <w:kern w:val="0"/>
                <w:sz w:val="24"/>
                <w:szCs w:val="24"/>
              </w:rPr>
            </w:pPr>
          </w:p>
        </w:tc>
        <w:tc>
          <w:tcPr>
            <w:tcW w:w="208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楷体" w:hAnsi="楷体" w:eastAsia="楷体" w:cs="宋体"/>
                <w:kern w:val="0"/>
                <w:sz w:val="20"/>
                <w:szCs w:val="20"/>
              </w:rPr>
              <w:t>4.保护第三方合法权益</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r>
      <w:tr>
        <w:tblPrEx>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vAlign w:val="center"/>
          </w:tcPr>
          <w:p>
            <w:pPr>
              <w:widowControl/>
              <w:jc w:val="left"/>
              <w:rPr>
                <w:rFonts w:ascii="宋体" w:hAnsi="宋体" w:cs="宋体"/>
                <w:kern w:val="0"/>
                <w:sz w:val="24"/>
                <w:szCs w:val="24"/>
              </w:rPr>
            </w:pPr>
          </w:p>
        </w:tc>
        <w:tc>
          <w:tcPr>
            <w:tcW w:w="854" w:type="dxa"/>
            <w:vMerge w:val="continue"/>
            <w:tcBorders>
              <w:top w:val="nil"/>
              <w:left w:val="nil"/>
              <w:bottom w:val="single" w:color="auto" w:sz="8" w:space="0"/>
              <w:right w:val="single" w:color="auto" w:sz="8" w:space="0"/>
            </w:tcBorders>
            <w:vAlign w:val="center"/>
          </w:tcPr>
          <w:p>
            <w:pPr>
              <w:widowControl/>
              <w:jc w:val="left"/>
              <w:rPr>
                <w:rFonts w:ascii="宋体" w:hAnsi="宋体" w:cs="宋体"/>
                <w:kern w:val="0"/>
                <w:sz w:val="24"/>
                <w:szCs w:val="24"/>
              </w:rPr>
            </w:pPr>
          </w:p>
        </w:tc>
        <w:tc>
          <w:tcPr>
            <w:tcW w:w="208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楷体" w:hAnsi="楷体" w:eastAsia="楷体" w:cs="宋体"/>
                <w:kern w:val="0"/>
                <w:sz w:val="20"/>
                <w:szCs w:val="20"/>
              </w:rPr>
              <w:t>5.属于三类内部事务信息</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r>
      <w:tr>
        <w:tblPrEx>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vAlign w:val="center"/>
          </w:tcPr>
          <w:p>
            <w:pPr>
              <w:widowControl/>
              <w:jc w:val="left"/>
              <w:rPr>
                <w:rFonts w:ascii="宋体" w:hAnsi="宋体" w:cs="宋体"/>
                <w:kern w:val="0"/>
                <w:sz w:val="24"/>
                <w:szCs w:val="24"/>
              </w:rPr>
            </w:pPr>
          </w:p>
        </w:tc>
        <w:tc>
          <w:tcPr>
            <w:tcW w:w="854" w:type="dxa"/>
            <w:vMerge w:val="continue"/>
            <w:tcBorders>
              <w:top w:val="nil"/>
              <w:left w:val="nil"/>
              <w:bottom w:val="single" w:color="auto" w:sz="8" w:space="0"/>
              <w:right w:val="single" w:color="auto" w:sz="8" w:space="0"/>
            </w:tcBorders>
            <w:vAlign w:val="center"/>
          </w:tcPr>
          <w:p>
            <w:pPr>
              <w:widowControl/>
              <w:jc w:val="left"/>
              <w:rPr>
                <w:rFonts w:ascii="宋体" w:hAnsi="宋体" w:cs="宋体"/>
                <w:kern w:val="0"/>
                <w:sz w:val="24"/>
                <w:szCs w:val="24"/>
              </w:rPr>
            </w:pPr>
          </w:p>
        </w:tc>
        <w:tc>
          <w:tcPr>
            <w:tcW w:w="208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楷体" w:hAnsi="楷体" w:eastAsia="楷体" w:cs="宋体"/>
                <w:kern w:val="0"/>
                <w:sz w:val="20"/>
                <w:szCs w:val="20"/>
              </w:rPr>
              <w:t>6.属于四类过程性信息</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r>
      <w:tr>
        <w:tblPrEx>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vAlign w:val="center"/>
          </w:tcPr>
          <w:p>
            <w:pPr>
              <w:widowControl/>
              <w:jc w:val="left"/>
              <w:rPr>
                <w:rFonts w:ascii="宋体" w:hAnsi="宋体" w:cs="宋体"/>
                <w:kern w:val="0"/>
                <w:sz w:val="24"/>
                <w:szCs w:val="24"/>
              </w:rPr>
            </w:pPr>
          </w:p>
        </w:tc>
        <w:tc>
          <w:tcPr>
            <w:tcW w:w="854" w:type="dxa"/>
            <w:vMerge w:val="continue"/>
            <w:tcBorders>
              <w:top w:val="nil"/>
              <w:left w:val="nil"/>
              <w:bottom w:val="single" w:color="auto" w:sz="8" w:space="0"/>
              <w:right w:val="single" w:color="auto" w:sz="8" w:space="0"/>
            </w:tcBorders>
            <w:vAlign w:val="center"/>
          </w:tcPr>
          <w:p>
            <w:pPr>
              <w:widowControl/>
              <w:jc w:val="left"/>
              <w:rPr>
                <w:rFonts w:ascii="宋体" w:hAnsi="宋体" w:cs="宋体"/>
                <w:kern w:val="0"/>
                <w:sz w:val="24"/>
                <w:szCs w:val="24"/>
              </w:rPr>
            </w:pPr>
          </w:p>
        </w:tc>
        <w:tc>
          <w:tcPr>
            <w:tcW w:w="208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楷体" w:hAnsi="楷体" w:eastAsia="楷体" w:cs="宋体"/>
                <w:kern w:val="0"/>
                <w:sz w:val="20"/>
                <w:szCs w:val="20"/>
              </w:rPr>
              <w:t>7.属于行政执法案卷</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r>
      <w:tr>
        <w:tblPrEx>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vAlign w:val="center"/>
          </w:tcPr>
          <w:p>
            <w:pPr>
              <w:widowControl/>
              <w:jc w:val="left"/>
              <w:rPr>
                <w:rFonts w:ascii="宋体" w:hAnsi="宋体" w:cs="宋体"/>
                <w:kern w:val="0"/>
                <w:sz w:val="24"/>
                <w:szCs w:val="24"/>
              </w:rPr>
            </w:pPr>
          </w:p>
        </w:tc>
        <w:tc>
          <w:tcPr>
            <w:tcW w:w="854" w:type="dxa"/>
            <w:vMerge w:val="continue"/>
            <w:tcBorders>
              <w:top w:val="nil"/>
              <w:left w:val="nil"/>
              <w:bottom w:val="single" w:color="auto" w:sz="8" w:space="0"/>
              <w:right w:val="single" w:color="auto" w:sz="8" w:space="0"/>
            </w:tcBorders>
            <w:vAlign w:val="center"/>
          </w:tcPr>
          <w:p>
            <w:pPr>
              <w:widowControl/>
              <w:jc w:val="left"/>
              <w:rPr>
                <w:rFonts w:ascii="宋体" w:hAnsi="宋体" w:cs="宋体"/>
                <w:kern w:val="0"/>
                <w:sz w:val="24"/>
                <w:szCs w:val="24"/>
              </w:rPr>
            </w:pPr>
          </w:p>
        </w:tc>
        <w:tc>
          <w:tcPr>
            <w:tcW w:w="208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楷体" w:hAnsi="楷体" w:eastAsia="楷体" w:cs="宋体"/>
                <w:kern w:val="0"/>
                <w:sz w:val="20"/>
                <w:szCs w:val="20"/>
              </w:rPr>
              <w:t>8.属于行政查询事项</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r>
      <w:tr>
        <w:tblPrEx>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vAlign w:val="center"/>
          </w:tcPr>
          <w:p>
            <w:pPr>
              <w:widowControl/>
              <w:jc w:val="left"/>
              <w:rPr>
                <w:rFonts w:ascii="宋体" w:hAnsi="宋体" w:cs="宋体"/>
                <w:kern w:val="0"/>
                <w:sz w:val="24"/>
                <w:szCs w:val="24"/>
              </w:rPr>
            </w:pPr>
          </w:p>
        </w:tc>
        <w:tc>
          <w:tcPr>
            <w:tcW w:w="854"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楷体" w:hAnsi="楷体" w:eastAsia="楷体" w:cs="宋体"/>
                <w:kern w:val="0"/>
                <w:sz w:val="20"/>
                <w:szCs w:val="20"/>
              </w:rPr>
              <w:t>（四）无法提供</w:t>
            </w:r>
          </w:p>
        </w:tc>
        <w:tc>
          <w:tcPr>
            <w:tcW w:w="208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楷体" w:hAnsi="楷体" w:eastAsia="楷体" w:cs="宋体"/>
                <w:kern w:val="0"/>
                <w:sz w:val="20"/>
                <w:szCs w:val="20"/>
              </w:rPr>
              <w:t>1.本机关不掌握相关政府信息</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r>
      <w:tr>
        <w:tblPrEx>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vAlign w:val="center"/>
          </w:tcPr>
          <w:p>
            <w:pPr>
              <w:widowControl/>
              <w:jc w:val="left"/>
              <w:rPr>
                <w:rFonts w:ascii="宋体" w:hAnsi="宋体" w:cs="宋体"/>
                <w:kern w:val="0"/>
                <w:sz w:val="24"/>
                <w:szCs w:val="24"/>
              </w:rPr>
            </w:pPr>
          </w:p>
        </w:tc>
        <w:tc>
          <w:tcPr>
            <w:tcW w:w="854" w:type="dxa"/>
            <w:vMerge w:val="continue"/>
            <w:tcBorders>
              <w:top w:val="nil"/>
              <w:left w:val="nil"/>
              <w:bottom w:val="single" w:color="auto" w:sz="8" w:space="0"/>
              <w:right w:val="single" w:color="auto" w:sz="8" w:space="0"/>
            </w:tcBorders>
            <w:vAlign w:val="center"/>
          </w:tcPr>
          <w:p>
            <w:pPr>
              <w:widowControl/>
              <w:jc w:val="left"/>
              <w:rPr>
                <w:rFonts w:ascii="宋体" w:hAnsi="宋体" w:cs="宋体"/>
                <w:kern w:val="0"/>
                <w:sz w:val="24"/>
                <w:szCs w:val="24"/>
              </w:rPr>
            </w:pPr>
          </w:p>
        </w:tc>
        <w:tc>
          <w:tcPr>
            <w:tcW w:w="208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楷体" w:hAnsi="楷体" w:eastAsia="楷体" w:cs="宋体"/>
                <w:kern w:val="0"/>
                <w:sz w:val="20"/>
                <w:szCs w:val="20"/>
              </w:rPr>
              <w:t>2.没有现成信息需要另行制作</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r>
      <w:tr>
        <w:tblPrEx>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vAlign w:val="center"/>
          </w:tcPr>
          <w:p>
            <w:pPr>
              <w:widowControl/>
              <w:jc w:val="left"/>
              <w:rPr>
                <w:rFonts w:ascii="宋体" w:hAnsi="宋体" w:cs="宋体"/>
                <w:kern w:val="0"/>
                <w:sz w:val="24"/>
                <w:szCs w:val="24"/>
              </w:rPr>
            </w:pPr>
          </w:p>
        </w:tc>
        <w:tc>
          <w:tcPr>
            <w:tcW w:w="854" w:type="dxa"/>
            <w:vMerge w:val="continue"/>
            <w:tcBorders>
              <w:top w:val="nil"/>
              <w:left w:val="nil"/>
              <w:bottom w:val="single" w:color="auto" w:sz="8" w:space="0"/>
              <w:right w:val="single" w:color="auto" w:sz="8" w:space="0"/>
            </w:tcBorders>
            <w:vAlign w:val="center"/>
          </w:tcPr>
          <w:p>
            <w:pPr>
              <w:widowControl/>
              <w:jc w:val="left"/>
              <w:rPr>
                <w:rFonts w:ascii="宋体" w:hAnsi="宋体" w:cs="宋体"/>
                <w:kern w:val="0"/>
                <w:sz w:val="24"/>
                <w:szCs w:val="24"/>
              </w:rPr>
            </w:pPr>
          </w:p>
        </w:tc>
        <w:tc>
          <w:tcPr>
            <w:tcW w:w="208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楷体" w:hAnsi="楷体" w:eastAsia="楷体" w:cs="宋体"/>
                <w:kern w:val="0"/>
                <w:sz w:val="20"/>
                <w:szCs w:val="20"/>
              </w:rPr>
              <w:t>3.补正后申请内容仍不明确</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r>
      <w:tr>
        <w:tblPrEx>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vAlign w:val="center"/>
          </w:tcPr>
          <w:p>
            <w:pPr>
              <w:widowControl/>
              <w:jc w:val="left"/>
              <w:rPr>
                <w:rFonts w:ascii="宋体" w:hAnsi="宋体" w:cs="宋体"/>
                <w:kern w:val="0"/>
                <w:sz w:val="24"/>
                <w:szCs w:val="24"/>
              </w:rPr>
            </w:pPr>
          </w:p>
        </w:tc>
        <w:tc>
          <w:tcPr>
            <w:tcW w:w="854"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楷体" w:hAnsi="楷体" w:eastAsia="楷体" w:cs="宋体"/>
                <w:kern w:val="0"/>
                <w:sz w:val="20"/>
                <w:szCs w:val="20"/>
              </w:rPr>
              <w:t>（五）不予处理</w:t>
            </w:r>
          </w:p>
        </w:tc>
        <w:tc>
          <w:tcPr>
            <w:tcW w:w="208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楷体" w:hAnsi="楷体" w:eastAsia="楷体" w:cs="宋体"/>
                <w:kern w:val="0"/>
                <w:sz w:val="20"/>
                <w:szCs w:val="20"/>
              </w:rPr>
              <w:t>1.信访举报投诉类申请</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r>
      <w:tr>
        <w:tblPrEx>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vAlign w:val="center"/>
          </w:tcPr>
          <w:p>
            <w:pPr>
              <w:widowControl/>
              <w:jc w:val="left"/>
              <w:rPr>
                <w:rFonts w:ascii="宋体" w:hAnsi="宋体" w:cs="宋体"/>
                <w:kern w:val="0"/>
                <w:sz w:val="24"/>
                <w:szCs w:val="24"/>
              </w:rPr>
            </w:pPr>
          </w:p>
        </w:tc>
        <w:tc>
          <w:tcPr>
            <w:tcW w:w="854" w:type="dxa"/>
            <w:vMerge w:val="continue"/>
            <w:tcBorders>
              <w:top w:val="nil"/>
              <w:left w:val="nil"/>
              <w:bottom w:val="single" w:color="auto" w:sz="8" w:space="0"/>
              <w:right w:val="single" w:color="auto" w:sz="8" w:space="0"/>
            </w:tcBorders>
            <w:vAlign w:val="center"/>
          </w:tcPr>
          <w:p>
            <w:pPr>
              <w:widowControl/>
              <w:jc w:val="left"/>
              <w:rPr>
                <w:rFonts w:ascii="宋体" w:hAnsi="宋体" w:cs="宋体"/>
                <w:kern w:val="0"/>
                <w:sz w:val="24"/>
                <w:szCs w:val="24"/>
              </w:rPr>
            </w:pPr>
          </w:p>
        </w:tc>
        <w:tc>
          <w:tcPr>
            <w:tcW w:w="208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楷体" w:hAnsi="楷体" w:eastAsia="楷体" w:cs="宋体"/>
                <w:kern w:val="0"/>
                <w:sz w:val="20"/>
                <w:szCs w:val="20"/>
              </w:rPr>
              <w:t>2.重复申请</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r>
      <w:tr>
        <w:tblPrEx>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vAlign w:val="center"/>
          </w:tcPr>
          <w:p>
            <w:pPr>
              <w:widowControl/>
              <w:jc w:val="left"/>
              <w:rPr>
                <w:rFonts w:ascii="宋体" w:hAnsi="宋体" w:cs="宋体"/>
                <w:kern w:val="0"/>
                <w:sz w:val="24"/>
                <w:szCs w:val="24"/>
              </w:rPr>
            </w:pPr>
          </w:p>
        </w:tc>
        <w:tc>
          <w:tcPr>
            <w:tcW w:w="854" w:type="dxa"/>
            <w:vMerge w:val="continue"/>
            <w:tcBorders>
              <w:top w:val="nil"/>
              <w:left w:val="nil"/>
              <w:bottom w:val="single" w:color="auto" w:sz="8" w:space="0"/>
              <w:right w:val="single" w:color="auto" w:sz="8" w:space="0"/>
            </w:tcBorders>
            <w:vAlign w:val="center"/>
          </w:tcPr>
          <w:p>
            <w:pPr>
              <w:widowControl/>
              <w:jc w:val="left"/>
              <w:rPr>
                <w:rFonts w:ascii="宋体" w:hAnsi="宋体" w:cs="宋体"/>
                <w:kern w:val="0"/>
                <w:sz w:val="24"/>
                <w:szCs w:val="24"/>
              </w:rPr>
            </w:pPr>
          </w:p>
        </w:tc>
        <w:tc>
          <w:tcPr>
            <w:tcW w:w="208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楷体" w:hAnsi="楷体" w:eastAsia="楷体" w:cs="宋体"/>
                <w:kern w:val="0"/>
                <w:sz w:val="20"/>
                <w:szCs w:val="20"/>
              </w:rPr>
              <w:t>3.要求提供公开出版物</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r>
      <w:tr>
        <w:trPr>
          <w:jc w:val="center"/>
        </w:trPr>
        <w:tc>
          <w:tcPr>
            <w:tcW w:w="616" w:type="dxa"/>
            <w:vMerge w:val="continue"/>
            <w:tcBorders>
              <w:top w:val="nil"/>
              <w:left w:val="single" w:color="auto" w:sz="8" w:space="0"/>
              <w:bottom w:val="single" w:color="auto" w:sz="8" w:space="0"/>
              <w:right w:val="single" w:color="auto" w:sz="8" w:space="0"/>
            </w:tcBorders>
            <w:vAlign w:val="center"/>
          </w:tcPr>
          <w:p>
            <w:pPr>
              <w:widowControl/>
              <w:jc w:val="left"/>
              <w:rPr>
                <w:rFonts w:ascii="宋体" w:hAnsi="宋体" w:cs="宋体"/>
                <w:kern w:val="0"/>
                <w:sz w:val="24"/>
                <w:szCs w:val="24"/>
              </w:rPr>
            </w:pPr>
          </w:p>
        </w:tc>
        <w:tc>
          <w:tcPr>
            <w:tcW w:w="854" w:type="dxa"/>
            <w:vMerge w:val="continue"/>
            <w:tcBorders>
              <w:top w:val="nil"/>
              <w:left w:val="nil"/>
              <w:bottom w:val="single" w:color="auto" w:sz="8" w:space="0"/>
              <w:right w:val="single" w:color="auto" w:sz="8" w:space="0"/>
            </w:tcBorders>
            <w:vAlign w:val="center"/>
          </w:tcPr>
          <w:p>
            <w:pPr>
              <w:widowControl/>
              <w:jc w:val="left"/>
              <w:rPr>
                <w:rFonts w:ascii="宋体" w:hAnsi="宋体" w:cs="宋体"/>
                <w:kern w:val="0"/>
                <w:sz w:val="24"/>
                <w:szCs w:val="24"/>
              </w:rPr>
            </w:pPr>
          </w:p>
        </w:tc>
        <w:tc>
          <w:tcPr>
            <w:tcW w:w="208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楷体" w:hAnsi="楷体" w:eastAsia="楷体" w:cs="宋体"/>
                <w:kern w:val="0"/>
                <w:sz w:val="20"/>
                <w:szCs w:val="20"/>
              </w:rPr>
              <w:t>4.无正当理由大量反复申请</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r>
      <w:tr>
        <w:tblPrEx>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vAlign w:val="center"/>
          </w:tcPr>
          <w:p>
            <w:pPr>
              <w:widowControl/>
              <w:jc w:val="left"/>
              <w:rPr>
                <w:rFonts w:ascii="宋体" w:hAnsi="宋体" w:cs="宋体"/>
                <w:kern w:val="0"/>
                <w:sz w:val="24"/>
                <w:szCs w:val="24"/>
              </w:rPr>
            </w:pPr>
          </w:p>
        </w:tc>
        <w:tc>
          <w:tcPr>
            <w:tcW w:w="854" w:type="dxa"/>
            <w:vMerge w:val="continue"/>
            <w:tcBorders>
              <w:top w:val="nil"/>
              <w:left w:val="nil"/>
              <w:bottom w:val="single" w:color="auto" w:sz="8" w:space="0"/>
              <w:right w:val="single" w:color="auto" w:sz="8" w:space="0"/>
            </w:tcBorders>
            <w:vAlign w:val="center"/>
          </w:tcPr>
          <w:p>
            <w:pPr>
              <w:widowControl/>
              <w:jc w:val="left"/>
              <w:rPr>
                <w:rFonts w:ascii="宋体" w:hAnsi="宋体" w:cs="宋体"/>
                <w:kern w:val="0"/>
                <w:sz w:val="24"/>
                <w:szCs w:val="24"/>
              </w:rPr>
            </w:pPr>
          </w:p>
        </w:tc>
        <w:tc>
          <w:tcPr>
            <w:tcW w:w="208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楷体" w:hAnsi="楷体" w:eastAsia="楷体" w:cs="宋体"/>
                <w:kern w:val="0"/>
                <w:sz w:val="20"/>
                <w:szCs w:val="20"/>
              </w:rPr>
              <w:t>5.要求行政机关确认或重新出具已获取信息</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r>
      <w:tr>
        <w:tblPrEx>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vAlign w:val="center"/>
          </w:tcPr>
          <w:p>
            <w:pPr>
              <w:widowControl/>
              <w:jc w:val="left"/>
              <w:rPr>
                <w:rFonts w:ascii="宋体" w:hAnsi="宋体" w:cs="宋体"/>
                <w:kern w:val="0"/>
                <w:sz w:val="24"/>
                <w:szCs w:val="24"/>
              </w:rPr>
            </w:pPr>
          </w:p>
        </w:tc>
        <w:tc>
          <w:tcPr>
            <w:tcW w:w="2940"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楷体" w:hAnsi="楷体" w:eastAsia="楷体" w:cs="宋体"/>
                <w:kern w:val="0"/>
                <w:sz w:val="20"/>
                <w:szCs w:val="20"/>
              </w:rPr>
              <w:t>（六）其他处理</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r>
      <w:tr>
        <w:tblPrEx>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vAlign w:val="center"/>
          </w:tcPr>
          <w:p>
            <w:pPr>
              <w:widowControl/>
              <w:jc w:val="left"/>
              <w:rPr>
                <w:rFonts w:ascii="宋体" w:hAnsi="宋体" w:cs="宋体"/>
                <w:kern w:val="0"/>
                <w:sz w:val="24"/>
                <w:szCs w:val="24"/>
              </w:rPr>
            </w:pPr>
          </w:p>
        </w:tc>
        <w:tc>
          <w:tcPr>
            <w:tcW w:w="2940"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楷体" w:hAnsi="楷体" w:eastAsia="楷体" w:cs="宋体"/>
                <w:kern w:val="0"/>
                <w:sz w:val="20"/>
                <w:szCs w:val="20"/>
              </w:rPr>
              <w:t>（七）总计</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r>
      <w:tr>
        <w:trPr>
          <w:jc w:val="center"/>
        </w:trPr>
        <w:tc>
          <w:tcPr>
            <w:tcW w:w="3556" w:type="dxa"/>
            <w:gridSpan w:val="3"/>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left"/>
              <w:rPr>
                <w:rFonts w:ascii="宋体" w:hAnsi="宋体" w:cs="宋体"/>
                <w:kern w:val="0"/>
                <w:sz w:val="24"/>
                <w:szCs w:val="24"/>
              </w:rPr>
            </w:pPr>
            <w:r>
              <w:rPr>
                <w:rFonts w:hint="eastAsia" w:ascii="宋体" w:hAnsi="宋体" w:cs="宋体"/>
                <w:kern w:val="0"/>
                <w:sz w:val="20"/>
                <w:szCs w:val="20"/>
              </w:rPr>
              <w:t>四、结转下年度继续办理</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81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973"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711"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69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r>
    </w:tbl>
    <w:p>
      <w:pPr>
        <w:widowControl/>
        <w:shd w:val="clear" w:color="auto" w:fill="FFFFFF"/>
        <w:ind w:firstLine="480"/>
        <w:rPr>
          <w:rFonts w:hint="eastAsia" w:ascii="宋体" w:hAnsi="宋体" w:cs="宋体"/>
          <w:color w:val="333333"/>
          <w:kern w:val="0"/>
          <w:sz w:val="24"/>
          <w:szCs w:val="24"/>
        </w:rPr>
      </w:pPr>
    </w:p>
    <w:p>
      <w:pPr>
        <w:widowControl/>
        <w:shd w:val="clear" w:color="auto" w:fill="FFFFFF"/>
        <w:ind w:firstLine="480"/>
        <w:rPr>
          <w:rFonts w:hint="eastAsia" w:ascii="黑体" w:hAnsi="黑体" w:eastAsia="黑体" w:cs="黑体"/>
          <w:b w:val="0"/>
          <w:bCs w:val="0"/>
          <w:color w:val="FFFFFF" w:themeColor="background1"/>
          <w:kern w:val="0"/>
          <w:sz w:val="32"/>
          <w:szCs w:val="32"/>
          <w14:textFill>
            <w14:solidFill>
              <w14:schemeClr w14:val="bg1"/>
            </w14:solidFill>
          </w14:textFill>
        </w:rPr>
      </w:pPr>
    </w:p>
    <w:p>
      <w:pPr>
        <w:widowControl/>
        <w:shd w:val="clear" w:color="auto" w:fill="FFFFFF"/>
        <w:ind w:firstLine="480"/>
        <w:rPr>
          <w:rFonts w:hint="eastAsia" w:ascii="黑体" w:hAnsi="黑体" w:eastAsia="黑体" w:cs="黑体"/>
          <w:b w:val="0"/>
          <w:bCs w:val="0"/>
          <w:color w:val="333333"/>
          <w:kern w:val="0"/>
          <w:sz w:val="32"/>
          <w:szCs w:val="32"/>
        </w:rPr>
      </w:pPr>
      <w:r>
        <w:rPr>
          <w:rFonts w:hint="eastAsia" w:ascii="黑体" w:hAnsi="黑体" w:eastAsia="黑体" w:cs="黑体"/>
          <w:b w:val="0"/>
          <w:bCs w:val="0"/>
          <w:color w:val="333333"/>
          <w:kern w:val="0"/>
          <w:sz w:val="32"/>
          <w:szCs w:val="32"/>
        </w:rPr>
        <w:t>四、政府信息公开行政复议、行政诉讼情况</w:t>
      </w:r>
    </w:p>
    <w:p>
      <w:pPr>
        <w:widowControl/>
        <w:shd w:val="clear" w:color="auto" w:fill="FFFFFF"/>
        <w:ind w:firstLine="480"/>
        <w:rPr>
          <w:rFonts w:hint="eastAsia" w:ascii="宋体" w:hAnsi="宋体" w:cs="宋体"/>
          <w:color w:val="333333"/>
          <w:kern w:val="0"/>
          <w:sz w:val="24"/>
          <w:szCs w:val="24"/>
        </w:rPr>
      </w:pPr>
    </w:p>
    <w:tbl>
      <w:tblPr>
        <w:tblStyle w:val="3"/>
        <w:tblW w:w="9071" w:type="dxa"/>
        <w:jc w:val="center"/>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CellMar>
            <w:top w:w="0" w:type="dxa"/>
            <w:left w:w="0" w:type="dxa"/>
            <w:bottom w:w="0" w:type="dxa"/>
            <w:right w:w="0"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行政诉讼</w:t>
            </w:r>
          </w:p>
        </w:tc>
      </w:tr>
      <w:tr>
        <w:tblPrEx>
          <w:tblCellMar>
            <w:top w:w="0" w:type="dxa"/>
            <w:left w:w="0" w:type="dxa"/>
            <w:bottom w:w="0" w:type="dxa"/>
            <w:right w:w="0" w:type="dxa"/>
          </w:tblCellMar>
        </w:tblPrEx>
        <w:trPr>
          <w:jc w:val="center"/>
        </w:trPr>
        <w:tc>
          <w:tcPr>
            <w:tcW w:w="604" w:type="dxa"/>
            <w:vMerge w:val="restart"/>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结果维持</w:t>
            </w:r>
          </w:p>
        </w:tc>
        <w:tc>
          <w:tcPr>
            <w:tcW w:w="604"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尚未审结</w:t>
            </w:r>
          </w:p>
        </w:tc>
        <w:tc>
          <w:tcPr>
            <w:tcW w:w="658" w:type="dxa"/>
            <w:vMerge w:val="restart"/>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总计</w:t>
            </w:r>
          </w:p>
        </w:tc>
        <w:tc>
          <w:tcPr>
            <w:tcW w:w="2970" w:type="dxa"/>
            <w:gridSpan w:val="5"/>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复议后起诉</w:t>
            </w:r>
          </w:p>
        </w:tc>
      </w:tr>
      <w:tr>
        <w:tblPrEx>
          <w:tblCellMar>
            <w:top w:w="0" w:type="dxa"/>
            <w:left w:w="0" w:type="dxa"/>
            <w:bottom w:w="0" w:type="dxa"/>
            <w:right w:w="0" w:type="dxa"/>
          </w:tblCellMar>
        </w:tblPrEx>
        <w:trPr>
          <w:jc w:val="center"/>
        </w:trPr>
        <w:tc>
          <w:tcPr>
            <w:tcW w:w="604" w:type="dxa"/>
            <w:vMerge w:val="continue"/>
            <w:tcBorders>
              <w:top w:val="nil"/>
              <w:left w:val="single" w:color="auto" w:sz="8" w:space="0"/>
              <w:bottom w:val="single" w:color="auto" w:sz="8" w:space="0"/>
              <w:right w:val="single" w:color="auto" w:sz="8" w:space="0"/>
            </w:tcBorders>
            <w:vAlign w:val="center"/>
          </w:tcPr>
          <w:p>
            <w:pPr>
              <w:widowControl/>
              <w:jc w:val="left"/>
              <w:rPr>
                <w:rFonts w:ascii="宋体" w:hAnsi="宋体" w:cs="宋体"/>
                <w:kern w:val="0"/>
                <w:sz w:val="24"/>
                <w:szCs w:val="24"/>
              </w:rPr>
            </w:pPr>
          </w:p>
        </w:tc>
        <w:tc>
          <w:tcPr>
            <w:tcW w:w="604" w:type="dxa"/>
            <w:vMerge w:val="continue"/>
            <w:tcBorders>
              <w:top w:val="nil"/>
              <w:left w:val="nil"/>
              <w:bottom w:val="single" w:color="auto" w:sz="8" w:space="0"/>
              <w:right w:val="single" w:color="auto" w:sz="8" w:space="0"/>
            </w:tcBorders>
            <w:vAlign w:val="center"/>
          </w:tcPr>
          <w:p>
            <w:pPr>
              <w:widowControl/>
              <w:jc w:val="left"/>
              <w:rPr>
                <w:rFonts w:ascii="宋体" w:hAnsi="宋体" w:cs="宋体"/>
                <w:kern w:val="0"/>
                <w:sz w:val="24"/>
                <w:szCs w:val="24"/>
              </w:rPr>
            </w:pPr>
          </w:p>
        </w:tc>
        <w:tc>
          <w:tcPr>
            <w:tcW w:w="604" w:type="dxa"/>
            <w:vMerge w:val="continue"/>
            <w:tcBorders>
              <w:top w:val="single" w:color="auto" w:sz="8" w:space="0"/>
              <w:left w:val="nil"/>
              <w:bottom w:val="single" w:color="auto" w:sz="8" w:space="0"/>
              <w:right w:val="single" w:color="auto" w:sz="8" w:space="0"/>
            </w:tcBorders>
            <w:vAlign w:val="center"/>
          </w:tcPr>
          <w:p>
            <w:pPr>
              <w:widowControl/>
              <w:jc w:val="left"/>
              <w:rPr>
                <w:rFonts w:ascii="宋体" w:hAnsi="宋体" w:cs="宋体"/>
                <w:kern w:val="0"/>
                <w:sz w:val="24"/>
                <w:szCs w:val="24"/>
              </w:rPr>
            </w:pPr>
          </w:p>
        </w:tc>
        <w:tc>
          <w:tcPr>
            <w:tcW w:w="604" w:type="dxa"/>
            <w:vMerge w:val="continue"/>
            <w:tcBorders>
              <w:top w:val="single" w:color="auto" w:sz="8" w:space="0"/>
              <w:left w:val="nil"/>
              <w:bottom w:val="single" w:color="auto" w:sz="8" w:space="0"/>
              <w:right w:val="single" w:color="auto" w:sz="8" w:space="0"/>
            </w:tcBorders>
            <w:vAlign w:val="center"/>
          </w:tcPr>
          <w:p>
            <w:pPr>
              <w:widowControl/>
              <w:jc w:val="left"/>
              <w:rPr>
                <w:rFonts w:ascii="宋体" w:hAnsi="宋体" w:cs="宋体"/>
                <w:kern w:val="0"/>
                <w:sz w:val="24"/>
                <w:szCs w:val="24"/>
              </w:rPr>
            </w:pPr>
          </w:p>
        </w:tc>
        <w:tc>
          <w:tcPr>
            <w:tcW w:w="658" w:type="dxa"/>
            <w:vMerge w:val="continue"/>
            <w:tcBorders>
              <w:top w:val="single" w:color="auto" w:sz="8" w:space="0"/>
              <w:left w:val="nil"/>
              <w:bottom w:val="single" w:color="auto" w:sz="8" w:space="0"/>
              <w:right w:val="single" w:color="auto" w:sz="8" w:space="0"/>
            </w:tcBorders>
            <w:vAlign w:val="center"/>
          </w:tcPr>
          <w:p>
            <w:pPr>
              <w:widowControl/>
              <w:jc w:val="left"/>
              <w:rPr>
                <w:rFonts w:ascii="宋体" w:hAnsi="宋体" w:cs="宋体"/>
                <w:kern w:val="0"/>
                <w:sz w:val="24"/>
                <w:szCs w:val="24"/>
              </w:rPr>
            </w:pPr>
          </w:p>
        </w:tc>
        <w:tc>
          <w:tcPr>
            <w:tcW w:w="55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结果维持</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结果纠正</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其他结果</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尚未审结</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总计</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结果维持</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结果纠正</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其他结果</w:t>
            </w:r>
          </w:p>
        </w:tc>
        <w:tc>
          <w:tcPr>
            <w:tcW w:w="606"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尚未审结</w:t>
            </w:r>
          </w:p>
        </w:tc>
        <w:tc>
          <w:tcPr>
            <w:tcW w:w="606"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总计</w:t>
            </w:r>
          </w:p>
        </w:tc>
      </w:tr>
      <w:tr>
        <w:tblPrEx>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604"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604"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604"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cs="宋体"/>
                <w:kern w:val="0"/>
                <w:sz w:val="20"/>
                <w:szCs w:val="20"/>
              </w:rPr>
              <w:t> </w:t>
            </w:r>
            <w:r>
              <w:rPr>
                <w:rFonts w:hint="eastAsia" w:cs="宋体"/>
                <w:kern w:val="0"/>
                <w:sz w:val="20"/>
                <w:szCs w:val="20"/>
                <w:lang w:val="en-US" w:eastAsia="zh-CN"/>
              </w:rPr>
              <w:t>0</w:t>
            </w:r>
          </w:p>
        </w:tc>
        <w:tc>
          <w:tcPr>
            <w:tcW w:w="658"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cs="宋体"/>
                <w:kern w:val="0"/>
                <w:sz w:val="20"/>
                <w:szCs w:val="20"/>
                <w:lang w:val="en-US" w:eastAsia="zh-CN"/>
              </w:rPr>
              <w:t>0</w:t>
            </w:r>
            <w:r>
              <w:rPr>
                <w:rFonts w:cs="宋体"/>
                <w:kern w:val="0"/>
                <w:sz w:val="20"/>
                <w:szCs w:val="20"/>
              </w:rPr>
              <w:t> </w:t>
            </w:r>
          </w:p>
        </w:tc>
        <w:tc>
          <w:tcPr>
            <w:tcW w:w="55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lang w:val="en-US" w:eastAsia="zh-CN"/>
              </w:rPr>
              <w:t>0</w:t>
            </w:r>
            <w:r>
              <w:rPr>
                <w:rFonts w:hint="eastAsia" w:ascii="宋体" w:hAnsi="宋体" w:cs="宋体"/>
                <w:kern w:val="0"/>
                <w:sz w:val="20"/>
                <w:szCs w:val="20"/>
              </w:rPr>
              <w:t> </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 </w:t>
            </w:r>
            <w:r>
              <w:rPr>
                <w:rFonts w:hint="eastAsia" w:ascii="宋体" w:hAnsi="宋体" w:cs="宋体"/>
                <w:kern w:val="0"/>
                <w:sz w:val="20"/>
                <w:szCs w:val="20"/>
                <w:lang w:val="en-US" w:eastAsia="zh-CN"/>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 </w:t>
            </w:r>
            <w:r>
              <w:rPr>
                <w:rFonts w:hint="eastAsia" w:ascii="宋体" w:hAnsi="宋体" w:cs="宋体"/>
                <w:kern w:val="0"/>
                <w:sz w:val="20"/>
                <w:szCs w:val="20"/>
                <w:lang w:val="en-US" w:eastAsia="zh-CN"/>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lang w:val="en-US" w:eastAsia="zh-CN"/>
              </w:rPr>
              <w:t>0</w:t>
            </w:r>
            <w:r>
              <w:rPr>
                <w:rFonts w:hint="eastAsia" w:ascii="宋体" w:hAnsi="宋体" w:cs="宋体"/>
                <w:kern w:val="0"/>
                <w:sz w:val="20"/>
                <w:szCs w:val="20"/>
              </w:rPr>
              <w:t> </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 </w:t>
            </w:r>
            <w:r>
              <w:rPr>
                <w:rFonts w:hint="eastAsia" w:ascii="宋体" w:hAnsi="宋体" w:cs="宋体"/>
                <w:kern w:val="0"/>
                <w:sz w:val="20"/>
                <w:szCs w:val="20"/>
                <w:lang w:val="en-US" w:eastAsia="zh-CN"/>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 </w:t>
            </w:r>
            <w:r>
              <w:rPr>
                <w:rFonts w:hint="eastAsia" w:ascii="宋体" w:hAnsi="宋体" w:cs="宋体"/>
                <w:kern w:val="0"/>
                <w:sz w:val="20"/>
                <w:szCs w:val="20"/>
                <w:lang w:val="en-US" w:eastAsia="zh-CN"/>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60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ascii="宋体" w:hAnsi="宋体" w:cs="宋体"/>
                <w:kern w:val="0"/>
                <w:sz w:val="24"/>
                <w:szCs w:val="24"/>
              </w:rPr>
            </w:pPr>
            <w:r>
              <w:rPr>
                <w:rFonts w:hint="eastAsia" w:ascii="宋体" w:hAnsi="宋体" w:cs="宋体"/>
                <w:kern w:val="0"/>
                <w:sz w:val="20"/>
                <w:szCs w:val="20"/>
              </w:rPr>
              <w:t> </w:t>
            </w:r>
            <w:r>
              <w:rPr>
                <w:rFonts w:hint="eastAsia" w:ascii="宋体" w:hAnsi="宋体" w:cs="宋体"/>
                <w:kern w:val="0"/>
                <w:sz w:val="20"/>
                <w:szCs w:val="20"/>
                <w:lang w:val="en-US" w:eastAsia="zh-CN"/>
              </w:rPr>
              <w:t>0</w:t>
            </w:r>
          </w:p>
        </w:tc>
        <w:tc>
          <w:tcPr>
            <w:tcW w:w="60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eastAsia" w:ascii="宋体" w:hAnsi="宋体" w:eastAsia="宋体" w:cs="宋体"/>
                <w:kern w:val="0"/>
                <w:sz w:val="24"/>
                <w:szCs w:val="24"/>
                <w:lang w:val="en-US" w:eastAsia="zh-CN"/>
              </w:rPr>
            </w:pPr>
            <w:r>
              <w:rPr>
                <w:rFonts w:hint="eastAsia" w:ascii="宋体" w:hAnsi="宋体" w:cs="宋体"/>
                <w:kern w:val="0"/>
                <w:sz w:val="24"/>
                <w:szCs w:val="24"/>
                <w:lang w:val="en-US" w:eastAsia="zh-CN"/>
              </w:rPr>
              <w:t>0</w:t>
            </w:r>
          </w:p>
        </w:tc>
      </w:tr>
    </w:tbl>
    <w:p>
      <w:pPr>
        <w:rPr>
          <w:rFonts w:hint="eastAsia" w:ascii="黑体" w:hAnsi="黑体" w:eastAsia="黑体" w:cs="黑体"/>
          <w:sz w:val="32"/>
          <w:szCs w:val="32"/>
        </w:rPr>
      </w:pP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五、存在的主要问题及改进情况</w:t>
      </w:r>
    </w:p>
    <w:p>
      <w:pPr>
        <w:ind w:firstLine="640"/>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1、存在问题</w:t>
      </w:r>
    </w:p>
    <w:p>
      <w:pPr>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2020年，街道在政府信息公开工作方面采取了一系列措施，取得了一定进展，但也存在有一些问题，</w:t>
      </w:r>
      <w:r>
        <w:rPr>
          <w:rFonts w:hint="eastAsia" w:ascii="仿宋_GB2312" w:hAnsi="仿宋_GB2312" w:eastAsia="仿宋_GB2312" w:cs="仿宋_GB2312"/>
          <w:b/>
          <w:bCs/>
          <w:sz w:val="32"/>
          <w:szCs w:val="32"/>
          <w:lang w:val="en-US" w:eastAsia="zh-CN"/>
        </w:rPr>
        <w:t>一是</w:t>
      </w:r>
      <w:r>
        <w:rPr>
          <w:rFonts w:hint="eastAsia" w:ascii="仿宋_GB2312" w:hAnsi="仿宋_GB2312" w:eastAsia="仿宋_GB2312" w:cs="仿宋_GB2312"/>
          <w:sz w:val="32"/>
          <w:szCs w:val="32"/>
          <w:lang w:val="en-US" w:eastAsia="zh-CN"/>
        </w:rPr>
        <w:t>信息公开不及时，导致部分领域工作进展缓慢；</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信息公开公示不规范，公开的范围较小。</w:t>
      </w:r>
    </w:p>
    <w:p>
      <w:pPr>
        <w:ind w:firstLine="640"/>
        <w:rPr>
          <w:rFonts w:hint="eastAsia" w:ascii="仿宋_GB2312" w:hAnsi="仿宋_GB2312" w:eastAsia="仿宋_GB2312" w:cs="仿宋_GB2312"/>
          <w:sz w:val="32"/>
          <w:szCs w:val="32"/>
          <w:lang w:val="en-US" w:eastAsia="zh-CN"/>
        </w:rPr>
      </w:pPr>
      <w:r>
        <w:rPr>
          <w:rFonts w:hint="eastAsia" w:ascii="楷体" w:hAnsi="楷体" w:eastAsia="楷体" w:cs="楷体"/>
          <w:b/>
          <w:bCs/>
          <w:sz w:val="32"/>
          <w:szCs w:val="32"/>
          <w:lang w:val="en-US" w:eastAsia="zh-CN"/>
        </w:rPr>
        <w:t>2、整改措施</w:t>
      </w:r>
    </w:p>
    <w:p>
      <w:pPr>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2021年，荣校路街道将按照上级有关要求，进一步强化责任落实，规范公开程序，扩宽公开渠道，不断提高政务公开工作水平。</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w:t>
      </w:r>
      <w:r>
        <w:rPr>
          <w:rFonts w:hint="eastAsia" w:ascii="仿宋_GB2312" w:hAnsi="仿宋_GB2312" w:eastAsia="仿宋_GB2312" w:cs="仿宋_GB2312"/>
          <w:b/>
          <w:bCs/>
          <w:sz w:val="32"/>
          <w:szCs w:val="32"/>
          <w:lang w:val="en-US" w:eastAsia="zh-CN"/>
        </w:rPr>
        <w:t>一是高度重视，落实信息公开工作。</w:t>
      </w:r>
      <w:r>
        <w:rPr>
          <w:rFonts w:hint="eastAsia" w:ascii="仿宋_GB2312" w:hAnsi="仿宋_GB2312" w:eastAsia="仿宋_GB2312" w:cs="仿宋_GB2312"/>
          <w:sz w:val="32"/>
          <w:szCs w:val="32"/>
          <w:lang w:val="en-US" w:eastAsia="zh-CN"/>
        </w:rPr>
        <w:t>进一步完善分管领导具体抓、其他领导协同抓的工作机制，及时汇总各部门信息公开内容，统一定制、统一公开。</w:t>
      </w:r>
    </w:p>
    <w:p>
      <w:pPr>
        <w:rPr>
          <w:rFonts w:hint="eastAsia" w:ascii="楷体" w:hAnsi="楷体" w:eastAsia="楷体" w:cs="楷体"/>
          <w:sz w:val="32"/>
          <w:szCs w:val="32"/>
          <w:lang w:val="en-US" w:eastAsia="zh-CN"/>
        </w:rPr>
      </w:pPr>
      <w:r>
        <w:rPr>
          <w:rFonts w:hint="eastAsia" w:ascii="仿宋_GB2312" w:hAnsi="仿宋_GB2312" w:eastAsia="仿宋_GB2312" w:cs="仿宋_GB2312"/>
          <w:sz w:val="32"/>
          <w:szCs w:val="32"/>
          <w:lang w:val="en-US" w:eastAsia="zh-CN"/>
        </w:rPr>
        <w:t>　　</w:t>
      </w:r>
      <w:r>
        <w:rPr>
          <w:rFonts w:hint="eastAsia" w:ascii="仿宋_GB2312" w:hAnsi="仿宋_GB2312" w:eastAsia="仿宋_GB2312" w:cs="仿宋_GB2312"/>
          <w:b/>
          <w:bCs/>
          <w:sz w:val="32"/>
          <w:szCs w:val="32"/>
          <w:lang w:val="en-US" w:eastAsia="zh-CN"/>
        </w:rPr>
        <w:t>二是健全制度，规范信息公开程序。</w:t>
      </w:r>
      <w:r>
        <w:rPr>
          <w:rFonts w:hint="eastAsia" w:ascii="仿宋_GB2312" w:hAnsi="仿宋_GB2312" w:eastAsia="仿宋_GB2312" w:cs="仿宋_GB2312"/>
          <w:sz w:val="32"/>
          <w:szCs w:val="32"/>
          <w:lang w:val="en-US" w:eastAsia="zh-CN"/>
        </w:rPr>
        <w:t>及时更新办事处信息公开指南，进一步完善落实政府信息公开保密审查等一系列制度，不断规范信息公开内容、信息公开程序。</w:t>
      </w:r>
    </w:p>
    <w:p>
      <w:pPr>
        <w:rPr>
          <w:rFonts w:hint="eastAsia" w:ascii="黑体" w:hAnsi="黑体" w:eastAsia="黑体" w:cs="黑体"/>
          <w:sz w:val="32"/>
          <w:szCs w:val="32"/>
        </w:rPr>
      </w:pP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六、其他需要报告的事项</w:t>
      </w:r>
    </w:p>
    <w:p>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2020年，荣校路街道办事处按照牧野区政府办公室的安排部署下，上报了办事处基层政务试点领域政务公开目录，其中包含了</w:t>
      </w:r>
      <w:r>
        <w:rPr>
          <w:rFonts w:hint="eastAsia" w:ascii="仿宋_GB2312" w:hAnsi="仿宋_GB2312" w:eastAsia="仿宋_GB2312" w:cs="仿宋_GB2312"/>
          <w:sz w:val="32"/>
          <w:szCs w:val="32"/>
        </w:rPr>
        <w:t>重大建设项目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财政预决算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社会救助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养老服务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就业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社会保险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安全生产</w:t>
      </w:r>
      <w:r>
        <w:rPr>
          <w:rFonts w:hint="eastAsia" w:ascii="仿宋_GB2312" w:hAnsi="仿宋_GB2312" w:eastAsia="仿宋_GB2312" w:cs="仿宋_GB2312"/>
          <w:sz w:val="32"/>
          <w:szCs w:val="32"/>
          <w:lang w:val="en-US" w:eastAsia="zh-CN"/>
        </w:rPr>
        <w:t>情况。2021年，我办将按照《新乡市牧野区人民政府办公室关于印发全面推进牧野区基层政务公开标准化规范化工作实施方案的通知》的要求，做好基层政务公开工作。</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Nimbus Roman No9 L">
    <w:panose1 w:val="00000000000000000000"/>
    <w:charset w:val="00"/>
    <w:family w:val="auto"/>
    <w:pitch w:val="default"/>
    <w:sig w:usb0="00000000" w:usb1="00000000" w:usb2="00000000" w:usb3="00000000" w:csb0="00000000" w:csb1="00000000"/>
  </w:font>
  <w:font w:name="方正宋体S-超大字符集">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FD14FB"/>
    <w:multiLevelType w:val="singleLevel"/>
    <w:tmpl w:val="5FFD14FB"/>
    <w:lvl w:ilvl="0" w:tentative="0">
      <w:start w:val="2"/>
      <w:numFmt w:val="chineseCounting"/>
      <w:suff w:val="nothing"/>
      <w:lvlText w:val="（%1）"/>
      <w:lvlJc w:val="left"/>
    </w:lvl>
  </w:abstractNum>
  <w:abstractNum w:abstractNumId="1">
    <w:nsid w:val="5FFD1550"/>
    <w:multiLevelType w:val="singleLevel"/>
    <w:tmpl w:val="5FFD1550"/>
    <w:lvl w:ilvl="0" w:tentative="0">
      <w:start w:val="2"/>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C430D1F"/>
    <w:rsid w:val="1E1F682F"/>
    <w:rsid w:val="29637610"/>
    <w:rsid w:val="2A54352B"/>
    <w:rsid w:val="38D23459"/>
    <w:rsid w:val="3A650F58"/>
    <w:rsid w:val="3A675ECE"/>
    <w:rsid w:val="3DC1062B"/>
    <w:rsid w:val="3F493270"/>
    <w:rsid w:val="3FC91BE7"/>
    <w:rsid w:val="3FFF3B5C"/>
    <w:rsid w:val="413A2355"/>
    <w:rsid w:val="43E74F6C"/>
    <w:rsid w:val="4FB716CF"/>
    <w:rsid w:val="600D2274"/>
    <w:rsid w:val="65441CA6"/>
    <w:rsid w:val="77E62FD8"/>
    <w:rsid w:val="7D452BCB"/>
    <w:rsid w:val="7F358C15"/>
    <w:rsid w:val="7F74672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Office_11.8.2.9831_F1E327BC-269C-435d-A152-05C5408002CA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2014-10-29T20:08:00Z</dcterms:created>
  <dc:creator>rxzhdj</dc:creator>
  <cp:lastModifiedBy>administrator</cp:lastModifiedBy>
  <dcterms:modified xsi:type="dcterms:W3CDTF">2021-01-26T08:49:48Z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2052-11.8.2.9831</vt:lpwstr>
  </property>
</Properties>
</file>