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BCF2E0" w14:textId="0E02C7F8" w:rsidR="00B944AF" w:rsidRPr="00CD545B" w:rsidRDefault="004C7B41" w:rsidP="00CD545B">
      <w:pPr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CD545B">
        <w:rPr>
          <w:rFonts w:ascii="Times New Roman" w:eastAsia="方正小标宋简体" w:hAnsi="Times New Roman" w:cs="Times New Roman"/>
          <w:sz w:val="44"/>
          <w:szCs w:val="44"/>
        </w:rPr>
        <w:t>牧野区</w:t>
      </w:r>
      <w:r w:rsidRPr="00CD545B">
        <w:rPr>
          <w:rFonts w:ascii="Times New Roman" w:eastAsia="方正小标宋简体" w:hAnsi="Times New Roman" w:cs="Times New Roman"/>
          <w:sz w:val="44"/>
          <w:szCs w:val="44"/>
        </w:rPr>
        <w:t>1-</w:t>
      </w:r>
      <w:r w:rsidR="005B3EF5">
        <w:rPr>
          <w:rFonts w:ascii="Times New Roman" w:eastAsia="方正小标宋简体" w:hAnsi="Times New Roman" w:cs="Times New Roman" w:hint="eastAsia"/>
          <w:sz w:val="44"/>
          <w:szCs w:val="44"/>
        </w:rPr>
        <w:t>9</w:t>
      </w:r>
      <w:r w:rsidRPr="00CD545B">
        <w:rPr>
          <w:rFonts w:ascii="Times New Roman" w:eastAsia="方正小标宋简体" w:hAnsi="Times New Roman" w:cs="Times New Roman"/>
          <w:sz w:val="44"/>
          <w:szCs w:val="44"/>
        </w:rPr>
        <w:t>月份主要经济指标运行情况</w:t>
      </w:r>
    </w:p>
    <w:p w14:paraId="5FB7523D" w14:textId="77777777" w:rsidR="004C7B41" w:rsidRPr="00CD545B" w:rsidRDefault="004C7B41" w:rsidP="00CD545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bookmarkStart w:id="0" w:name="_GoBack"/>
      <w:bookmarkEnd w:id="0"/>
    </w:p>
    <w:p w14:paraId="7E4F4997" w14:textId="2F8A2786" w:rsidR="009230B1" w:rsidRPr="00CD545B" w:rsidRDefault="005B3EF5" w:rsidP="005B3EF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5B3EF5">
        <w:rPr>
          <w:rFonts w:ascii="Times New Roman" w:eastAsia="仿宋_GB2312" w:hAnsi="Times New Roman" w:cs="Times New Roman" w:hint="eastAsia"/>
          <w:sz w:val="32"/>
          <w:szCs w:val="32"/>
        </w:rPr>
        <w:t>今年以来，全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区</w:t>
      </w:r>
      <w:r w:rsidRPr="005B3EF5">
        <w:rPr>
          <w:rFonts w:ascii="Times New Roman" w:eastAsia="仿宋_GB2312" w:hAnsi="Times New Roman" w:cs="Times New Roman" w:hint="eastAsia"/>
          <w:sz w:val="32"/>
          <w:szCs w:val="32"/>
        </w:rPr>
        <w:t>聚焦“</w:t>
      </w:r>
      <w:r w:rsidRPr="005B3EF5">
        <w:rPr>
          <w:rFonts w:ascii="Times New Roman" w:eastAsia="仿宋_GB2312" w:hAnsi="Times New Roman" w:cs="Times New Roman" w:hint="eastAsia"/>
          <w:sz w:val="32"/>
          <w:szCs w:val="32"/>
        </w:rPr>
        <w:t>1+2+4+N</w:t>
      </w:r>
      <w:r w:rsidRPr="005B3EF5">
        <w:rPr>
          <w:rFonts w:ascii="Times New Roman" w:eastAsia="仿宋_GB2312" w:hAnsi="Times New Roman" w:cs="Times New Roman" w:hint="eastAsia"/>
          <w:sz w:val="32"/>
          <w:szCs w:val="32"/>
        </w:rPr>
        <w:t>”目标任务体系，着力稳就业、稳企业、稳市场、稳预期，全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区</w:t>
      </w:r>
      <w:r w:rsidRPr="005B3EF5">
        <w:rPr>
          <w:rFonts w:ascii="Times New Roman" w:eastAsia="仿宋_GB2312" w:hAnsi="Times New Roman" w:cs="Times New Roman" w:hint="eastAsia"/>
          <w:sz w:val="32"/>
          <w:szCs w:val="32"/>
        </w:rPr>
        <w:t>经济运行呈现平稳向好、韧性增强的良好态势。</w:t>
      </w:r>
    </w:p>
    <w:p w14:paraId="4AC0BFB5" w14:textId="42B4EBC0" w:rsidR="00B944AF" w:rsidRPr="00CD545B" w:rsidRDefault="004C7B41" w:rsidP="00CD545B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CD545B">
        <w:rPr>
          <w:rFonts w:ascii="Times New Roman" w:eastAsia="黑体" w:hAnsi="Times New Roman" w:cs="Times New Roman"/>
          <w:sz w:val="32"/>
          <w:szCs w:val="32"/>
        </w:rPr>
        <w:t>一、</w:t>
      </w:r>
      <w:r w:rsidRPr="00CD545B">
        <w:rPr>
          <w:rFonts w:ascii="Times New Roman" w:eastAsia="黑体" w:hAnsi="Times New Roman" w:cs="Times New Roman"/>
          <w:sz w:val="32"/>
          <w:szCs w:val="32"/>
        </w:rPr>
        <w:t>1-</w:t>
      </w:r>
      <w:r w:rsidR="005B3EF5">
        <w:rPr>
          <w:rFonts w:ascii="Times New Roman" w:eastAsia="黑体" w:hAnsi="Times New Roman" w:cs="Times New Roman" w:hint="eastAsia"/>
          <w:sz w:val="32"/>
          <w:szCs w:val="32"/>
        </w:rPr>
        <w:t>9</w:t>
      </w:r>
      <w:r w:rsidRPr="00CD545B">
        <w:rPr>
          <w:rFonts w:ascii="Times New Roman" w:eastAsia="黑体" w:hAnsi="Times New Roman" w:cs="Times New Roman"/>
          <w:sz w:val="32"/>
          <w:szCs w:val="32"/>
        </w:rPr>
        <w:t>月份主要经济指标完成情况</w:t>
      </w:r>
    </w:p>
    <w:p w14:paraId="637EBA7C" w14:textId="77777777" w:rsidR="00E946A5" w:rsidRDefault="00E946A5" w:rsidP="00CD545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4F004B">
        <w:rPr>
          <w:rFonts w:ascii="Times New Roman" w:eastAsia="仿宋_GB2312" w:hAnsi="Times New Roman" w:cs="Times New Roman"/>
          <w:sz w:val="32"/>
          <w:szCs w:val="32"/>
        </w:rPr>
        <w:t>全区地区生产总值完成</w:t>
      </w:r>
      <w:r w:rsidRPr="004F004B">
        <w:rPr>
          <w:rFonts w:ascii="Times New Roman" w:eastAsia="仿宋_GB2312" w:hAnsi="Times New Roman" w:cs="Times New Roman"/>
          <w:sz w:val="32"/>
          <w:szCs w:val="32"/>
        </w:rPr>
        <w:t>153.22</w:t>
      </w:r>
      <w:r w:rsidRPr="004F004B">
        <w:rPr>
          <w:rFonts w:ascii="Times New Roman" w:eastAsia="仿宋_GB2312" w:hAnsi="Times New Roman" w:cs="Times New Roman"/>
          <w:sz w:val="32"/>
          <w:szCs w:val="32"/>
        </w:rPr>
        <w:t>亿元，居全市第</w:t>
      </w:r>
      <w:r w:rsidRPr="004F004B">
        <w:rPr>
          <w:rFonts w:ascii="Times New Roman" w:eastAsia="仿宋_GB2312" w:hAnsi="Times New Roman" w:cs="Times New Roman"/>
          <w:sz w:val="32"/>
          <w:szCs w:val="32"/>
        </w:rPr>
        <w:t>9</w:t>
      </w:r>
      <w:r w:rsidRPr="004F004B">
        <w:rPr>
          <w:rFonts w:ascii="Times New Roman" w:eastAsia="仿宋_GB2312" w:hAnsi="Times New Roman" w:cs="Times New Roman"/>
          <w:sz w:val="32"/>
          <w:szCs w:val="32"/>
        </w:rPr>
        <w:t>位，同比增长</w:t>
      </w:r>
      <w:r w:rsidRPr="004F004B">
        <w:rPr>
          <w:rFonts w:ascii="Times New Roman" w:eastAsia="仿宋_GB2312" w:hAnsi="Times New Roman" w:cs="Times New Roman"/>
          <w:sz w:val="32"/>
          <w:szCs w:val="32"/>
        </w:rPr>
        <w:t>3.1%</w:t>
      </w:r>
      <w:r w:rsidRPr="004F004B">
        <w:rPr>
          <w:rFonts w:ascii="Times New Roman" w:eastAsia="仿宋_GB2312" w:hAnsi="Times New Roman" w:cs="Times New Roman"/>
          <w:sz w:val="32"/>
          <w:szCs w:val="32"/>
        </w:rPr>
        <w:t>，居全市第</w:t>
      </w:r>
      <w:r w:rsidRPr="004F004B">
        <w:rPr>
          <w:rFonts w:ascii="Times New Roman" w:eastAsia="仿宋_GB2312" w:hAnsi="Times New Roman" w:cs="Times New Roman"/>
          <w:sz w:val="32"/>
          <w:szCs w:val="32"/>
        </w:rPr>
        <w:t>10</w:t>
      </w:r>
      <w:r w:rsidRPr="004F004B">
        <w:rPr>
          <w:rFonts w:ascii="Times New Roman" w:eastAsia="仿宋_GB2312" w:hAnsi="Times New Roman" w:cs="Times New Roman"/>
          <w:sz w:val="32"/>
          <w:szCs w:val="32"/>
        </w:rPr>
        <w:t>位。</w:t>
      </w:r>
    </w:p>
    <w:p w14:paraId="4CBC821F" w14:textId="77777777" w:rsidR="00E946A5" w:rsidRPr="00F10066" w:rsidRDefault="00E946A5" w:rsidP="00E946A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全区规模以上工业增加值同比增长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5.2%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，居全市第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12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位。</w:t>
      </w:r>
    </w:p>
    <w:p w14:paraId="76D8CE61" w14:textId="28B48A7F" w:rsidR="00E946A5" w:rsidRPr="00F10066" w:rsidRDefault="00E946A5" w:rsidP="00E946A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全区固定资产投资同比增长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14.4%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，居全市第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位。其中，房地产投资同比增长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64.7%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，居全市第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位。商品房销售面积同比增长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60.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7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%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，居全市第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位。</w:t>
      </w:r>
    </w:p>
    <w:p w14:paraId="509EF09F" w14:textId="6A1C22C4" w:rsidR="00222B2A" w:rsidRPr="00CD545B" w:rsidRDefault="00E946A5" w:rsidP="00E946A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全区社会消费品零售总额累计完成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39.3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亿元，居全市第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12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位，同比增长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4.2%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，居全市第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10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位。</w:t>
      </w:r>
    </w:p>
    <w:p w14:paraId="2D0800F8" w14:textId="523F1D6E" w:rsidR="00B944AF" w:rsidRPr="008E6804" w:rsidRDefault="008E6804" w:rsidP="008E6804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全区居民人均可支配收入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34618.1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元，居全市第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位，同比增长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3.3%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，居全市第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10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位。其中，城镇居民人均可支配收入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35385.1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元，居全市第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位，同比增长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2.7%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，居全市第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10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位；农村居民人均可支配收入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19882.0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元，居全市第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位，同比增长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4.2%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，居全市第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12</w:t>
      </w:r>
      <w:r w:rsidRPr="008E6804">
        <w:rPr>
          <w:rFonts w:ascii="Times New Roman" w:eastAsia="仿宋_GB2312" w:hAnsi="Times New Roman" w:cs="Times New Roman" w:hint="eastAsia"/>
          <w:sz w:val="32"/>
          <w:szCs w:val="32"/>
        </w:rPr>
        <w:t>位。</w:t>
      </w:r>
    </w:p>
    <w:p w14:paraId="09220786" w14:textId="453958C9" w:rsidR="00222B2A" w:rsidRPr="00CD545B" w:rsidRDefault="00222B2A" w:rsidP="00CD545B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CD545B">
        <w:rPr>
          <w:rFonts w:ascii="Times New Roman" w:eastAsia="黑体" w:hAnsi="Times New Roman" w:cs="Times New Roman"/>
          <w:sz w:val="32"/>
          <w:szCs w:val="32"/>
        </w:rPr>
        <w:t>二、经济运行</w:t>
      </w:r>
      <w:r w:rsidR="004A1525" w:rsidRPr="00CD545B">
        <w:rPr>
          <w:rFonts w:ascii="Times New Roman" w:eastAsia="黑体" w:hAnsi="Times New Roman" w:cs="Times New Roman"/>
          <w:sz w:val="32"/>
          <w:szCs w:val="32"/>
        </w:rPr>
        <w:t>保持</w:t>
      </w:r>
      <w:r w:rsidRPr="00CD545B">
        <w:rPr>
          <w:rFonts w:ascii="Times New Roman" w:eastAsia="黑体" w:hAnsi="Times New Roman" w:cs="Times New Roman"/>
          <w:sz w:val="32"/>
          <w:szCs w:val="32"/>
        </w:rPr>
        <w:t>平稳</w:t>
      </w:r>
    </w:p>
    <w:p w14:paraId="4E009A41" w14:textId="77777777" w:rsidR="002D5735" w:rsidRPr="002D5735" w:rsidRDefault="002D5735" w:rsidP="002D573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前三季度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，全区地区生产总值（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GDP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）实现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153.22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亿元，总量居全市第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9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位；按可比价计算，同比增长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3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.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%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，居全市第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1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0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位。</w:t>
      </w:r>
    </w:p>
    <w:p w14:paraId="082A851C" w14:textId="77777777" w:rsidR="002D5735" w:rsidRPr="002D5735" w:rsidRDefault="002D5735" w:rsidP="002D573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2D5735">
        <w:rPr>
          <w:rFonts w:ascii="Times New Roman" w:eastAsia="仿宋_GB2312" w:hAnsi="Times New Roman" w:cs="Times New Roman"/>
          <w:sz w:val="32"/>
          <w:szCs w:val="32"/>
        </w:rPr>
        <w:lastRenderedPageBreak/>
        <w:t>分产业看，第一产业增加值完成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1.30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亿元，总量居全市第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10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位；同比增长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3.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%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，增速居全市第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位。第二产业增加值完成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57.01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亿元，总量居全市第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8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位；同比增长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4.9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%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，增速居全市第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9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位。第三产业增加值完成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94.92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亿元，总量居全市第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4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位；同比增长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1.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9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%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，增速居全市第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7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位。三次产业结构比：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0.85:37.20:61.95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。</w:t>
      </w:r>
    </w:p>
    <w:p w14:paraId="62414050" w14:textId="77777777" w:rsidR="002D5735" w:rsidRPr="002D5735" w:rsidRDefault="002D5735" w:rsidP="002D5735">
      <w:pPr>
        <w:spacing w:line="560" w:lineRule="exact"/>
        <w:ind w:firstLineChars="200" w:firstLine="640"/>
        <w:rPr>
          <w:rFonts w:ascii="Times New Roman" w:eastAsia="楷体_GB2312" w:hAnsi="Times New Roman" w:cs="Times New Roman"/>
          <w:sz w:val="32"/>
          <w:szCs w:val="32"/>
        </w:rPr>
      </w:pPr>
      <w:r w:rsidRPr="002D5735">
        <w:rPr>
          <w:rFonts w:ascii="Times New Roman" w:eastAsia="楷体_GB2312" w:hAnsi="Times New Roman" w:cs="Times New Roman"/>
          <w:sz w:val="32"/>
          <w:szCs w:val="32"/>
        </w:rPr>
        <w:t>（一）第一产业稳定增长</w:t>
      </w:r>
    </w:p>
    <w:p w14:paraId="7C4D1F4A" w14:textId="7E2E4794" w:rsidR="002D5735" w:rsidRPr="002D5735" w:rsidRDefault="002D5735" w:rsidP="002D573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前三季度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全区农林牧渔业增加值完成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1.30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亿元，同比增长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3.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%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，对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GDP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贡献率为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1.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09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%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，拉动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GDP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增长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0.03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个百分点。今年以来，区委、区政府继续加大对农业生产的支持力度，保证农业生产对资金的需求，农村经济总量稳步提高。</w:t>
      </w:r>
    </w:p>
    <w:p w14:paraId="35B65F1B" w14:textId="77777777" w:rsidR="002D5735" w:rsidRPr="002D5735" w:rsidRDefault="002D5735" w:rsidP="002D5735">
      <w:pPr>
        <w:spacing w:line="560" w:lineRule="exact"/>
        <w:ind w:firstLineChars="200" w:firstLine="640"/>
        <w:rPr>
          <w:rFonts w:ascii="Times New Roman" w:eastAsia="楷体_GB2312" w:hAnsi="Times New Roman" w:cs="Times New Roman"/>
          <w:sz w:val="32"/>
          <w:szCs w:val="32"/>
        </w:rPr>
      </w:pPr>
      <w:r w:rsidRPr="002D5735">
        <w:rPr>
          <w:rFonts w:ascii="Times New Roman" w:eastAsia="楷体_GB2312" w:hAnsi="Times New Roman" w:cs="Times New Roman"/>
          <w:sz w:val="32"/>
          <w:szCs w:val="32"/>
        </w:rPr>
        <w:t>（二）第二产业增速</w:t>
      </w:r>
      <w:r w:rsidRPr="002D5735">
        <w:rPr>
          <w:rFonts w:ascii="Times New Roman" w:eastAsia="楷体_GB2312" w:hAnsi="Times New Roman" w:cs="Times New Roman" w:hint="eastAsia"/>
          <w:sz w:val="32"/>
          <w:szCs w:val="32"/>
        </w:rPr>
        <w:t>回升</w:t>
      </w:r>
    </w:p>
    <w:p w14:paraId="306B6700" w14:textId="6E98FCFC" w:rsidR="002D5735" w:rsidRPr="002D5735" w:rsidRDefault="002D5735" w:rsidP="002D573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前三季度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全区工业增加值完成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45.71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亿元，增速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4.6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%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，对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GDP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贡献率为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45.77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%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，拉动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GDP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增长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1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.38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个百分点，其中：电热水增加值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23.01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亿元，增速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5.5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%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，高于全区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GDP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增速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2.4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个百分点，对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GDP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贡献率为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32.49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%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，拉动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GDP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增长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0.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98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个百分点。制造业增加值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22.70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亿元，增速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3.3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%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与高于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全区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GDP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增速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0.2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个百分点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，对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GDP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贡献率为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13.27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%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，拉动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GDP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增长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0.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40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个百分点。建筑业增加值完成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11.30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亿元，增速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6.1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%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，高于全区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GDP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增速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3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个百分点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对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GDP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贡献率为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1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6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.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44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%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，拉动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GDP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增长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0.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50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个百分点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14:paraId="235B3CD3" w14:textId="77777777" w:rsidR="002D5735" w:rsidRPr="002D5735" w:rsidRDefault="002D5735" w:rsidP="002D573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2D5735">
        <w:rPr>
          <w:rFonts w:ascii="Times New Roman" w:eastAsia="仿宋_GB2312" w:hAnsi="Times New Roman" w:cs="Times New Roman"/>
          <w:sz w:val="32"/>
          <w:szCs w:val="32"/>
        </w:rPr>
        <w:t>二</w:t>
      </w:r>
      <w:proofErr w:type="gramStart"/>
      <w:r w:rsidRPr="002D5735">
        <w:rPr>
          <w:rFonts w:ascii="Times New Roman" w:eastAsia="仿宋_GB2312" w:hAnsi="Times New Roman" w:cs="Times New Roman"/>
          <w:sz w:val="32"/>
          <w:szCs w:val="32"/>
        </w:rPr>
        <w:t>产基础</w:t>
      </w:r>
      <w:proofErr w:type="gramEnd"/>
      <w:r w:rsidRPr="002D5735">
        <w:rPr>
          <w:rFonts w:ascii="Times New Roman" w:eastAsia="仿宋_GB2312" w:hAnsi="Times New Roman" w:cs="Times New Roman"/>
          <w:sz w:val="32"/>
          <w:szCs w:val="32"/>
        </w:rPr>
        <w:t>指标中，</w:t>
      </w:r>
      <w:proofErr w:type="gramStart"/>
      <w:r w:rsidRPr="002D5735">
        <w:rPr>
          <w:rFonts w:ascii="Times New Roman" w:eastAsia="仿宋_GB2312" w:hAnsi="Times New Roman" w:cs="Times New Roman"/>
          <w:sz w:val="32"/>
          <w:szCs w:val="32"/>
        </w:rPr>
        <w:t>规</w:t>
      </w:r>
      <w:proofErr w:type="gramEnd"/>
      <w:r w:rsidRPr="002D5735">
        <w:rPr>
          <w:rFonts w:ascii="Times New Roman" w:eastAsia="仿宋_GB2312" w:hAnsi="Times New Roman" w:cs="Times New Roman"/>
          <w:sz w:val="32"/>
          <w:szCs w:val="32"/>
        </w:rPr>
        <w:t>上电热水行业增加值增速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6.36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%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</w:t>
      </w:r>
      <w:proofErr w:type="gramStart"/>
      <w:r w:rsidRPr="002D5735">
        <w:rPr>
          <w:rFonts w:ascii="Times New Roman" w:eastAsia="仿宋_GB2312" w:hAnsi="Times New Roman" w:cs="Times New Roman"/>
          <w:sz w:val="32"/>
          <w:szCs w:val="32"/>
        </w:rPr>
        <w:t>规下工业</w:t>
      </w:r>
      <w:proofErr w:type="gramEnd"/>
      <w:r w:rsidRPr="002D5735">
        <w:rPr>
          <w:rFonts w:ascii="Times New Roman" w:eastAsia="仿宋_GB2312" w:hAnsi="Times New Roman" w:cs="Times New Roman"/>
          <w:sz w:val="32"/>
          <w:szCs w:val="32"/>
        </w:rPr>
        <w:t>增加值增速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5.57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%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，规模以上制造业增加值增速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lastRenderedPageBreak/>
        <w:t>2.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88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%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，建筑业总产值增速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8.15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%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，二产合计拉动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GDP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增长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1.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84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个百分点。</w:t>
      </w:r>
    </w:p>
    <w:p w14:paraId="7E392B9D" w14:textId="77777777" w:rsidR="002D5735" w:rsidRPr="002D5735" w:rsidRDefault="002D5735" w:rsidP="002D5735">
      <w:pPr>
        <w:spacing w:line="560" w:lineRule="exact"/>
        <w:ind w:firstLineChars="200" w:firstLine="640"/>
        <w:rPr>
          <w:rFonts w:ascii="Times New Roman" w:eastAsia="楷体_GB2312" w:hAnsi="Times New Roman" w:cs="Times New Roman"/>
          <w:sz w:val="32"/>
          <w:szCs w:val="32"/>
        </w:rPr>
      </w:pPr>
      <w:r w:rsidRPr="002D5735">
        <w:rPr>
          <w:rFonts w:ascii="Times New Roman" w:eastAsia="楷体_GB2312" w:hAnsi="Times New Roman" w:cs="Times New Roman"/>
          <w:sz w:val="32"/>
          <w:szCs w:val="32"/>
        </w:rPr>
        <w:t>（三）第三产业拉动有限</w:t>
      </w:r>
    </w:p>
    <w:p w14:paraId="724B1261" w14:textId="25DB715E" w:rsidR="002D5735" w:rsidRPr="002D5735" w:rsidRDefault="002D5735" w:rsidP="002D573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前三季度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全区第三产业同比增长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1.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9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%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，居全市第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7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位。</w:t>
      </w:r>
    </w:p>
    <w:p w14:paraId="450D061A" w14:textId="77777777" w:rsidR="002D5735" w:rsidRPr="002D5735" w:rsidRDefault="002D5735" w:rsidP="002D573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2D5735">
        <w:rPr>
          <w:rFonts w:ascii="Times New Roman" w:eastAsia="仿宋_GB2312" w:hAnsi="Times New Roman" w:cs="Times New Roman"/>
          <w:sz w:val="32"/>
          <w:szCs w:val="32"/>
        </w:rPr>
        <w:t>对三产下拉的指标是：金融业，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租赁和商务服务业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，居民服务、修理和其他服务业，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科学研究和技术服务业，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水利、环境和公共设施管理业，公共管理社会保障组织，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文化体育和娱乐业，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7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个指标共占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GDP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比重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2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.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7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5%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，合计下拉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GDP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增长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1.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05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个百分点。</w:t>
      </w:r>
    </w:p>
    <w:p w14:paraId="094E644E" w14:textId="6556D49D" w:rsidR="00222B2A" w:rsidRPr="002D5735" w:rsidRDefault="002D5735" w:rsidP="002D573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2D5735">
        <w:rPr>
          <w:rFonts w:ascii="Times New Roman" w:eastAsia="仿宋_GB2312" w:hAnsi="Times New Roman" w:cs="Times New Roman"/>
          <w:sz w:val="32"/>
          <w:szCs w:val="32"/>
        </w:rPr>
        <w:t>对三产上拉的指标是：商品房销售面积，房地产业服务业，交通运输仓储邮政业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，信息传输、软件和信息技术服务业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proofErr w:type="gramStart"/>
      <w:r w:rsidRPr="002D5735">
        <w:rPr>
          <w:rFonts w:ascii="Times New Roman" w:eastAsia="仿宋_GB2312" w:hAnsi="Times New Roman" w:cs="Times New Roman"/>
          <w:sz w:val="32"/>
          <w:szCs w:val="32"/>
        </w:rPr>
        <w:t>批零住</w:t>
      </w:r>
      <w:proofErr w:type="gramEnd"/>
      <w:r w:rsidRPr="002D5735">
        <w:rPr>
          <w:rFonts w:ascii="Times New Roman" w:eastAsia="仿宋_GB2312" w:hAnsi="Times New Roman" w:cs="Times New Roman"/>
          <w:sz w:val="32"/>
          <w:szCs w:val="32"/>
        </w:rPr>
        <w:t>餐业，卫生，教育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7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个指标共占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GDP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比重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44.37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%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，合计上拉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GDP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增长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2.</w:t>
      </w:r>
      <w:r w:rsidRPr="002D5735">
        <w:rPr>
          <w:rFonts w:ascii="Times New Roman" w:eastAsia="仿宋_GB2312" w:hAnsi="Times New Roman" w:cs="Times New Roman" w:hint="eastAsia"/>
          <w:sz w:val="32"/>
          <w:szCs w:val="32"/>
        </w:rPr>
        <w:t>19</w:t>
      </w:r>
      <w:r w:rsidRPr="002D5735">
        <w:rPr>
          <w:rFonts w:ascii="Times New Roman" w:eastAsia="仿宋_GB2312" w:hAnsi="Times New Roman" w:cs="Times New Roman"/>
          <w:sz w:val="32"/>
          <w:szCs w:val="32"/>
        </w:rPr>
        <w:t>个百分点。</w:t>
      </w:r>
    </w:p>
    <w:p w14:paraId="5C4F657C" w14:textId="53C592A4" w:rsidR="004A1525" w:rsidRPr="00CD545B" w:rsidRDefault="004A1525" w:rsidP="00CD545B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CD545B">
        <w:rPr>
          <w:rFonts w:ascii="Times New Roman" w:eastAsia="黑体" w:hAnsi="Times New Roman" w:cs="Times New Roman"/>
          <w:sz w:val="32"/>
          <w:szCs w:val="32"/>
        </w:rPr>
        <w:t>三、</w:t>
      </w:r>
      <w:r w:rsidR="001B20D4" w:rsidRPr="001B20D4">
        <w:rPr>
          <w:rFonts w:ascii="Times New Roman" w:eastAsia="黑体" w:hAnsi="Times New Roman" w:cs="Times New Roman" w:hint="eastAsia"/>
          <w:sz w:val="32"/>
          <w:szCs w:val="32"/>
        </w:rPr>
        <w:t>农业生产持续回暖</w:t>
      </w:r>
    </w:p>
    <w:p w14:paraId="363B1824" w14:textId="2BFD9F3E" w:rsidR="007E252B" w:rsidRPr="001B20D4" w:rsidRDefault="001B20D4" w:rsidP="001B20D4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前三季度，区委、区政府始终把三农工作放到重中之重，稳住农业基本盘，筑牢三农压舱石，全区农业生产继续保持平稳增长。三季度实现农林牧渔业总产值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2.30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亿元，同比增长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3.2%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。其中：农业产值完成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2.08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亿元，同比增长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6.9%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；林业产值完成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0.1217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亿元，同比增长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10.8%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；牧业产值完成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0.0063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亿元，同比下降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-16.9%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；渔业产值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0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亿元；农林牧渔服务业产值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0.1689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亿元，同比增长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7.4%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。分行业看，农业、林业、服务业均实现正增长。全区粮食总产量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1.45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万吨，与去年同期持平。前三季度蔬菜播种面积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1366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公顷，同比增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lastRenderedPageBreak/>
        <w:t>长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0.75%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，产量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57212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吨，同比增长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3.02%</w:t>
      </w:r>
      <w:r w:rsidRPr="001B20D4">
        <w:rPr>
          <w:rFonts w:ascii="Times New Roman" w:eastAsia="仿宋_GB2312" w:hAnsi="Times New Roman" w:cs="Times New Roman" w:hint="eastAsia"/>
          <w:sz w:val="32"/>
          <w:szCs w:val="32"/>
        </w:rPr>
        <w:t>，菜农种植优质高效品种，确保了全区蔬菜种植实现质的有效提升和量的合理增长。</w:t>
      </w:r>
    </w:p>
    <w:p w14:paraId="50F95CA9" w14:textId="386B6824" w:rsidR="004A3E1D" w:rsidRPr="00CD545B" w:rsidRDefault="00D04E84" w:rsidP="00CD545B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CD545B">
        <w:rPr>
          <w:rFonts w:ascii="Times New Roman" w:eastAsia="黑体" w:hAnsi="Times New Roman" w:cs="Times New Roman"/>
          <w:sz w:val="32"/>
          <w:szCs w:val="32"/>
        </w:rPr>
        <w:t>四</w:t>
      </w:r>
      <w:r w:rsidR="004C7B41" w:rsidRPr="00CD545B">
        <w:rPr>
          <w:rFonts w:ascii="Times New Roman" w:eastAsia="黑体" w:hAnsi="Times New Roman" w:cs="Times New Roman"/>
          <w:sz w:val="32"/>
          <w:szCs w:val="32"/>
        </w:rPr>
        <w:t>、</w:t>
      </w:r>
      <w:r w:rsidR="002D5735">
        <w:rPr>
          <w:rFonts w:ascii="Times New Roman" w:eastAsia="黑体" w:hAnsi="Times New Roman" w:cs="Times New Roman"/>
          <w:sz w:val="32"/>
          <w:szCs w:val="32"/>
        </w:rPr>
        <w:t>工业</w:t>
      </w:r>
      <w:r w:rsidR="00E54445" w:rsidRPr="00CD545B">
        <w:rPr>
          <w:rFonts w:ascii="Times New Roman" w:eastAsia="黑体" w:hAnsi="Times New Roman" w:cs="Times New Roman"/>
          <w:sz w:val="32"/>
          <w:szCs w:val="32"/>
        </w:rPr>
        <w:t>增加值增速略有</w:t>
      </w:r>
      <w:r w:rsidR="002D5735">
        <w:rPr>
          <w:rFonts w:ascii="Times New Roman" w:eastAsia="黑体" w:hAnsi="Times New Roman" w:cs="Times New Roman" w:hint="eastAsia"/>
          <w:sz w:val="32"/>
          <w:szCs w:val="32"/>
        </w:rPr>
        <w:t>下降</w:t>
      </w:r>
    </w:p>
    <w:p w14:paraId="2E8D46EA" w14:textId="77C23750" w:rsidR="00AB2065" w:rsidRPr="00AB2065" w:rsidRDefault="00AB2065" w:rsidP="00AB206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9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月份，规模以上工业增加值增长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-0.7%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，低于全市水平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4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个百分点，居全市第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11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位。</w:t>
      </w:r>
    </w:p>
    <w:p w14:paraId="2C052D57" w14:textId="1ABD26DE" w:rsidR="00AB2065" w:rsidRDefault="00AB2065" w:rsidP="00AB206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1-9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月份，规模以上工业增加值增长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5.2%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，低于全市水平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2.3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个百分点，居全市第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12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位。规模以上工业产销率为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99%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14:paraId="6588D8B4" w14:textId="2AEFCC83" w:rsidR="00AB2065" w:rsidRPr="00AB2065" w:rsidRDefault="00AB2065" w:rsidP="00AB206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1-9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月份，全区规模以上工业企业营业收入同比增长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6.5%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，营业利润同比上涨较多，税金总额同比增长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29.7%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14:paraId="5DA93D58" w14:textId="77777777" w:rsidR="00AB2065" w:rsidRPr="00891DFE" w:rsidRDefault="00AB2065" w:rsidP="00891DFE">
      <w:pPr>
        <w:spacing w:line="560" w:lineRule="exact"/>
        <w:ind w:firstLineChars="200" w:firstLine="643"/>
        <w:rPr>
          <w:rFonts w:ascii="楷体_GB2312" w:eastAsia="楷体_GB2312" w:hAnsi="Times New Roman" w:cs="Times New Roman"/>
          <w:b/>
          <w:sz w:val="32"/>
          <w:szCs w:val="32"/>
        </w:rPr>
      </w:pPr>
      <w:r w:rsidRPr="00891DFE">
        <w:rPr>
          <w:rFonts w:ascii="楷体_GB2312" w:eastAsia="楷体_GB2312" w:hAnsi="Times New Roman" w:cs="Times New Roman" w:hint="eastAsia"/>
          <w:b/>
          <w:sz w:val="32"/>
          <w:szCs w:val="32"/>
        </w:rPr>
        <w:t>（一）运行情况</w:t>
      </w:r>
    </w:p>
    <w:p w14:paraId="40A33189" w14:textId="77777777" w:rsidR="00AB2065" w:rsidRPr="00AB2065" w:rsidRDefault="00AB2065" w:rsidP="00AB206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、分门类看，制造业增加值占</w:t>
      </w:r>
      <w:proofErr w:type="gramStart"/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全区比重</w:t>
      </w:r>
      <w:proofErr w:type="gramEnd"/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32.2%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，同比增长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2.9%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；电力、热力、燃气及水生产和供应业增加值占</w:t>
      </w:r>
      <w:proofErr w:type="gramStart"/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全区比重</w:t>
      </w:r>
      <w:proofErr w:type="gramEnd"/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67.8%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，同比增长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6.4%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14:paraId="4FB02312" w14:textId="77777777" w:rsidR="00AB2065" w:rsidRPr="00AB2065" w:rsidRDefault="00AB2065" w:rsidP="00AB206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、分行业看，全区规模以上工业生产的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21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个行业大类中有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11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个行业增加值保持同比增长，行业增长面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42.3%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。重点行业中电力、热力生产和供应业增长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6.4%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，拉动规模以上工业增加值增长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4.2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个百分点。计算机、通信和其他电子设备制造业同比增长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2.9%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，拉动规模以上工业增加值增长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0.5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个百分点。</w:t>
      </w:r>
    </w:p>
    <w:p w14:paraId="333E3C43" w14:textId="77777777" w:rsidR="00AB2065" w:rsidRPr="00AB2065" w:rsidRDefault="00AB2065" w:rsidP="00AB206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3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、从高质量发展方面看，高技术产业增加值增长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3.6%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，拉动规模以上工业增加值增长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0.7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个百分点。</w:t>
      </w:r>
    </w:p>
    <w:p w14:paraId="47B3C56C" w14:textId="77777777" w:rsidR="00AB2065" w:rsidRPr="00AB2065" w:rsidRDefault="00AB2065" w:rsidP="00AB206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4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、从主导产业方面看，规模以上工业主导产业工业增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lastRenderedPageBreak/>
        <w:t>加值增长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3.9%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，拉动规模以上工业增加值增长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0.8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个百分点。</w:t>
      </w:r>
    </w:p>
    <w:p w14:paraId="64107EE7" w14:textId="1B78E11A" w:rsidR="00AB2065" w:rsidRPr="00891DFE" w:rsidRDefault="00AB2065" w:rsidP="00891DFE">
      <w:pPr>
        <w:spacing w:line="560" w:lineRule="exact"/>
        <w:ind w:firstLineChars="200" w:firstLine="643"/>
        <w:rPr>
          <w:rFonts w:ascii="楷体_GB2312" w:eastAsia="楷体_GB2312" w:hAnsi="Times New Roman" w:cs="Times New Roman"/>
          <w:b/>
          <w:sz w:val="32"/>
          <w:szCs w:val="32"/>
        </w:rPr>
      </w:pPr>
      <w:r w:rsidRPr="00891DFE">
        <w:rPr>
          <w:rFonts w:ascii="楷体_GB2312" w:eastAsia="楷体_GB2312" w:hAnsi="Times New Roman" w:cs="Times New Roman" w:hint="eastAsia"/>
          <w:b/>
          <w:sz w:val="32"/>
          <w:szCs w:val="32"/>
        </w:rPr>
        <w:t>（</w:t>
      </w:r>
      <w:r w:rsidR="00D63531">
        <w:rPr>
          <w:rFonts w:ascii="楷体_GB2312" w:eastAsia="楷体_GB2312" w:hAnsi="Times New Roman" w:cs="Times New Roman" w:hint="eastAsia"/>
          <w:b/>
          <w:sz w:val="32"/>
          <w:szCs w:val="32"/>
        </w:rPr>
        <w:t>二</w:t>
      </w:r>
      <w:r w:rsidRPr="00891DFE">
        <w:rPr>
          <w:rFonts w:ascii="楷体_GB2312" w:eastAsia="楷体_GB2312" w:hAnsi="Times New Roman" w:cs="Times New Roman" w:hint="eastAsia"/>
          <w:b/>
          <w:sz w:val="32"/>
          <w:szCs w:val="32"/>
        </w:rPr>
        <w:t>）下步工作措施</w:t>
      </w:r>
    </w:p>
    <w:p w14:paraId="67E155A8" w14:textId="042E3082" w:rsidR="00AB2065" w:rsidRPr="00AB2065" w:rsidRDefault="00AB2065" w:rsidP="00AB206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、针对当前对单一主体依赖过深的问题，需坚持短期风险防控与中长期结构优化并举。短期内，要密切监测该主体运行态势，中长期则须大力实施产业多元化战略，积极招商引资，培育新的经济增长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点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，从根本上优化经济结构，增强区域发展的韧性与稳定性。</w:t>
      </w:r>
    </w:p>
    <w:p w14:paraId="42A7D90B" w14:textId="4AA003E5" w:rsidR="002D5735" w:rsidRDefault="00AB2065" w:rsidP="00AB206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 w:rsidRPr="00AB2065">
        <w:rPr>
          <w:rFonts w:ascii="Times New Roman" w:eastAsia="仿宋_GB2312" w:hAnsi="Times New Roman" w:cs="Times New Roman" w:hint="eastAsia"/>
          <w:sz w:val="32"/>
          <w:szCs w:val="32"/>
        </w:rPr>
        <w:t>、当前工业结构转型的关键在于实现新旧动能的顺畅接续。需双管齐下：一方面推动传统产业通过技术改造向高端化、智能化升级，充分挖掘存量潜力；另一方面需大力破除制约新兴产业发展的体制机制障碍，构建贯通创新研发、成果转化与市场应用的全链条支撑体系，集中资源培育若干具有牵引力的新兴产业集群，为工业发展注入持续新动能。</w:t>
      </w:r>
    </w:p>
    <w:p w14:paraId="2DD02DEF" w14:textId="70CEB4A0" w:rsidR="00B944AF" w:rsidRPr="00CD545B" w:rsidRDefault="007A3D1B" w:rsidP="00CD545B">
      <w:pPr>
        <w:adjustRightInd w:val="0"/>
        <w:snapToGrid w:val="0"/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五</w:t>
      </w:r>
      <w:r w:rsidR="004C7B41" w:rsidRPr="00CD545B">
        <w:rPr>
          <w:rFonts w:ascii="Times New Roman" w:eastAsia="黑体" w:hAnsi="Times New Roman" w:cs="Times New Roman"/>
          <w:sz w:val="32"/>
          <w:szCs w:val="32"/>
        </w:rPr>
        <w:t>、</w:t>
      </w:r>
      <w:proofErr w:type="gramStart"/>
      <w:r w:rsidR="00AB2065">
        <w:rPr>
          <w:rFonts w:ascii="Times New Roman" w:eastAsia="黑体" w:hAnsi="Times New Roman" w:cs="Times New Roman"/>
          <w:sz w:val="32"/>
          <w:szCs w:val="32"/>
        </w:rPr>
        <w:t>固投</w:t>
      </w:r>
      <w:r w:rsidR="0026600F" w:rsidRPr="00CD545B">
        <w:rPr>
          <w:rFonts w:ascii="Times New Roman" w:eastAsia="黑体" w:hAnsi="Times New Roman" w:cs="Times New Roman"/>
          <w:sz w:val="32"/>
          <w:szCs w:val="32"/>
        </w:rPr>
        <w:t>重大</w:t>
      </w:r>
      <w:proofErr w:type="gramEnd"/>
      <w:r w:rsidR="0026600F" w:rsidRPr="00CD545B">
        <w:rPr>
          <w:rFonts w:ascii="Times New Roman" w:eastAsia="黑体" w:hAnsi="Times New Roman" w:cs="Times New Roman"/>
          <w:sz w:val="32"/>
          <w:szCs w:val="32"/>
        </w:rPr>
        <w:t>项目拉动有力</w:t>
      </w:r>
    </w:p>
    <w:p w14:paraId="6CD08745" w14:textId="77777777" w:rsidR="00891DFE" w:rsidRPr="00891DFE" w:rsidRDefault="00891DFE" w:rsidP="00891DFE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1-9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月份，全区固定资产投资同比增长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14.4%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，高于全市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15.9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个百分点，居全市第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位。</w:t>
      </w:r>
    </w:p>
    <w:p w14:paraId="051A6BAA" w14:textId="28CCC940" w:rsidR="00891DFE" w:rsidRPr="00891DFE" w:rsidRDefault="00891DFE" w:rsidP="00891DFE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重点领域投资情况：民间投资呈两位数增长，同比增长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51.9%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，占全部投资比重的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77.5%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proofErr w:type="gramStart"/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占比较</w:t>
      </w:r>
      <w:proofErr w:type="gramEnd"/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去年同期增加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19.1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个百分点；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房地产投资同比增长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64.7%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，居全市第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位。商品房销售面积同比增长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60.9%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，居全市第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Pr="00F10066">
        <w:rPr>
          <w:rFonts w:ascii="Times New Roman" w:eastAsia="仿宋_GB2312" w:hAnsi="Times New Roman" w:cs="Times New Roman" w:hint="eastAsia"/>
          <w:sz w:val="32"/>
          <w:szCs w:val="32"/>
        </w:rPr>
        <w:t>位。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工业投资呈下降态势，同比增长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-35.4%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，占全部投资比重的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16.1%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proofErr w:type="gramStart"/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占比较</w:t>
      </w:r>
      <w:proofErr w:type="gramEnd"/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去年同期减少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12.4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个百分点；建安工程投资由负转正，同比增长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0.5%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，占全部投资比重的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74%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proofErr w:type="gramStart"/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占比较</w:t>
      </w:r>
      <w:proofErr w:type="gramEnd"/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去年同期减少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10.3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个百分点；基础设施投资呈下降态势，同比增长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-28.8%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lastRenderedPageBreak/>
        <w:t>占全部投资比重的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16.7%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proofErr w:type="gramStart"/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占比较</w:t>
      </w:r>
      <w:proofErr w:type="gramEnd"/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去年同期减少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10.1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个百分点。</w:t>
      </w:r>
    </w:p>
    <w:p w14:paraId="2AD7AB5D" w14:textId="535154AC" w:rsidR="00891DFE" w:rsidRDefault="00891DFE" w:rsidP="00891DFE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三次产业投资情况：产业投资以第二、第三产业为主，投资增长趋势呈现一正一负。第二产业投资同比增长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-35.4%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，占全部投资比重的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16.1%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proofErr w:type="gramStart"/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占比较</w:t>
      </w:r>
      <w:proofErr w:type="gramEnd"/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去年减少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12.4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个百分点；第三产业投资同比增长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34.3%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，占全部投资比重的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83.9%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proofErr w:type="gramStart"/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占比较</w:t>
      </w:r>
      <w:proofErr w:type="gramEnd"/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去年增加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12.4</w:t>
      </w:r>
      <w:r w:rsidRPr="00891DFE">
        <w:rPr>
          <w:rFonts w:ascii="Times New Roman" w:eastAsia="仿宋_GB2312" w:hAnsi="Times New Roman" w:cs="Times New Roman" w:hint="eastAsia"/>
          <w:sz w:val="32"/>
          <w:szCs w:val="32"/>
        </w:rPr>
        <w:t>个百分点。</w:t>
      </w:r>
    </w:p>
    <w:p w14:paraId="3666D226" w14:textId="6EA564BF" w:rsidR="00B944AF" w:rsidRPr="00CD545B" w:rsidRDefault="007A3D1B" w:rsidP="00891DFE">
      <w:pPr>
        <w:spacing w:line="560" w:lineRule="exact"/>
        <w:ind w:firstLineChars="200" w:firstLine="640"/>
        <w:rPr>
          <w:rFonts w:ascii="Times New Roman" w:eastAsia="黑体" w:hAnsi="Times New Roman" w:cs="Times New Roman"/>
          <w:kern w:val="0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六</w:t>
      </w:r>
      <w:r w:rsidR="004C7B41" w:rsidRPr="00CD545B">
        <w:rPr>
          <w:rFonts w:ascii="Times New Roman" w:eastAsia="黑体" w:hAnsi="Times New Roman" w:cs="Times New Roman"/>
          <w:sz w:val="32"/>
          <w:szCs w:val="32"/>
        </w:rPr>
        <w:t>、</w:t>
      </w:r>
      <w:r w:rsidR="00891DFE" w:rsidRPr="00235419">
        <w:rPr>
          <w:rFonts w:ascii="Times New Roman" w:eastAsia="黑体" w:hAnsi="Times New Roman" w:cs="Times New Roman"/>
          <w:kern w:val="0"/>
          <w:sz w:val="32"/>
          <w:szCs w:val="32"/>
        </w:rPr>
        <w:t>消费</w:t>
      </w:r>
      <w:r w:rsidR="00891DFE" w:rsidRPr="00235419">
        <w:rPr>
          <w:rFonts w:ascii="Times New Roman" w:eastAsia="黑体" w:hAnsi="Times New Roman" w:cs="Times New Roman" w:hint="eastAsia"/>
          <w:kern w:val="0"/>
          <w:sz w:val="32"/>
          <w:szCs w:val="32"/>
        </w:rPr>
        <w:t>市场略有</w:t>
      </w:r>
      <w:r w:rsidR="00891DFE" w:rsidRPr="00235419">
        <w:rPr>
          <w:rFonts w:ascii="Times New Roman" w:eastAsia="黑体" w:hAnsi="Times New Roman" w:cs="Times New Roman"/>
          <w:kern w:val="0"/>
          <w:sz w:val="32"/>
          <w:szCs w:val="32"/>
        </w:rPr>
        <w:t>回落</w:t>
      </w:r>
    </w:p>
    <w:p w14:paraId="3A0FD453" w14:textId="2ECAF6D4" w:rsidR="00891DFE" w:rsidRDefault="00891DFE" w:rsidP="00891DFE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1-9</w:t>
      </w:r>
      <w:r>
        <w:rPr>
          <w:rFonts w:ascii="Times New Roman" w:eastAsia="仿宋_GB2312" w:hAnsi="Times New Roman" w:cs="Times New Roman"/>
          <w:sz w:val="32"/>
          <w:szCs w:val="32"/>
        </w:rPr>
        <w:t>月份，全区社会消费品零售额累计完成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39.3</w:t>
      </w:r>
      <w:r>
        <w:rPr>
          <w:rFonts w:ascii="Times New Roman" w:eastAsia="仿宋_GB2312" w:hAnsi="Times New Roman" w:cs="Times New Roman"/>
          <w:sz w:val="32"/>
          <w:szCs w:val="32"/>
        </w:rPr>
        <w:t>亿元，居全市第</w:t>
      </w:r>
      <w:r>
        <w:rPr>
          <w:rFonts w:ascii="Times New Roman" w:eastAsia="仿宋_GB2312" w:hAnsi="Times New Roman" w:cs="Times New Roman"/>
          <w:sz w:val="32"/>
          <w:szCs w:val="32"/>
        </w:rPr>
        <w:t>1</w:t>
      </w:r>
      <w:r w:rsidR="007317C0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/>
          <w:sz w:val="32"/>
          <w:szCs w:val="32"/>
        </w:rPr>
        <w:t>位，同比增长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4</w:t>
      </w:r>
      <w:r>
        <w:rPr>
          <w:rFonts w:ascii="Times New Roman" w:eastAsia="仿宋_GB2312" w:hAnsi="Times New Roman" w:cs="Times New Roman"/>
          <w:sz w:val="32"/>
          <w:szCs w:val="32"/>
        </w:rPr>
        <w:t>.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/>
          <w:sz w:val="32"/>
          <w:szCs w:val="32"/>
        </w:rPr>
        <w:t>%</w:t>
      </w:r>
      <w:r>
        <w:rPr>
          <w:rFonts w:ascii="Times New Roman" w:eastAsia="仿宋_GB2312" w:hAnsi="Times New Roman" w:cs="Times New Roman"/>
          <w:sz w:val="32"/>
          <w:szCs w:val="32"/>
        </w:rPr>
        <w:t>，居全市第</w:t>
      </w:r>
      <w:r>
        <w:rPr>
          <w:rFonts w:ascii="Times New Roman" w:eastAsia="仿宋_GB2312" w:hAnsi="Times New Roman" w:cs="Times New Roman"/>
          <w:sz w:val="32"/>
          <w:szCs w:val="32"/>
        </w:rPr>
        <w:t>1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0</w:t>
      </w:r>
      <w:r>
        <w:rPr>
          <w:rFonts w:ascii="Times New Roman" w:eastAsia="仿宋_GB2312" w:hAnsi="Times New Roman" w:cs="Times New Roman"/>
          <w:sz w:val="32"/>
          <w:szCs w:val="32"/>
        </w:rPr>
        <w:t>位。</w:t>
      </w:r>
    </w:p>
    <w:p w14:paraId="0C51503E" w14:textId="77777777" w:rsidR="00891DFE" w:rsidRDefault="00891DFE" w:rsidP="00891DFE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1-9</w:t>
      </w:r>
      <w:r>
        <w:rPr>
          <w:rFonts w:ascii="Times New Roman" w:eastAsia="仿宋_GB2312" w:hAnsi="Times New Roman" w:cs="Times New Roman"/>
          <w:sz w:val="32"/>
          <w:szCs w:val="32"/>
        </w:rPr>
        <w:t>月份，限上企业零售总额累计完成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17.2</w:t>
      </w:r>
      <w:r>
        <w:rPr>
          <w:rFonts w:ascii="Times New Roman" w:eastAsia="仿宋_GB2312" w:hAnsi="Times New Roman" w:cs="Times New Roman"/>
          <w:sz w:val="32"/>
          <w:szCs w:val="32"/>
        </w:rPr>
        <w:t>亿元，同比增长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0.2</w:t>
      </w:r>
      <w:r>
        <w:rPr>
          <w:rFonts w:ascii="Times New Roman" w:eastAsia="仿宋_GB2312" w:hAnsi="Times New Roman" w:cs="Times New Roman"/>
          <w:sz w:val="32"/>
          <w:szCs w:val="32"/>
        </w:rPr>
        <w:t>%</w:t>
      </w:r>
      <w:r>
        <w:rPr>
          <w:rFonts w:ascii="Times New Roman" w:eastAsia="仿宋_GB2312" w:hAnsi="Times New Roman" w:cs="Times New Roman"/>
          <w:sz w:val="32"/>
          <w:szCs w:val="32"/>
        </w:rPr>
        <w:t>；限上企业销售额累计完成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74.6</w:t>
      </w:r>
      <w:r>
        <w:rPr>
          <w:rFonts w:ascii="Times New Roman" w:eastAsia="仿宋_GB2312" w:hAnsi="Times New Roman" w:cs="Times New Roman"/>
          <w:sz w:val="32"/>
          <w:szCs w:val="32"/>
        </w:rPr>
        <w:t>亿元，同比增长</w:t>
      </w:r>
      <w:r>
        <w:rPr>
          <w:rFonts w:ascii="Times New Roman" w:eastAsia="仿宋_GB2312" w:hAnsi="Times New Roman" w:cs="Times New Roman"/>
          <w:sz w:val="32"/>
          <w:szCs w:val="32"/>
        </w:rPr>
        <w:t>-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2.2</w:t>
      </w:r>
      <w:r>
        <w:rPr>
          <w:rFonts w:ascii="Times New Roman" w:eastAsia="仿宋_GB2312" w:hAnsi="Times New Roman" w:cs="Times New Roman"/>
          <w:sz w:val="32"/>
          <w:szCs w:val="32"/>
        </w:rPr>
        <w:t>%</w:t>
      </w:r>
      <w:r>
        <w:rPr>
          <w:rFonts w:ascii="Times New Roman" w:eastAsia="仿宋_GB2312" w:hAnsi="Times New Roman" w:cs="Times New Roman"/>
          <w:sz w:val="32"/>
          <w:szCs w:val="32"/>
        </w:rPr>
        <w:t>。</w:t>
      </w:r>
    </w:p>
    <w:p w14:paraId="1B01B807" w14:textId="45D7E3A2" w:rsidR="00891DFE" w:rsidRDefault="00891DFE" w:rsidP="00891DFE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限上零售额当月增速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-13.6</w:t>
      </w:r>
      <w:r>
        <w:rPr>
          <w:rFonts w:ascii="Times New Roman" w:eastAsia="仿宋_GB2312" w:hAnsi="Times New Roman" w:cs="Times New Roman"/>
          <w:sz w:val="32"/>
          <w:szCs w:val="32"/>
        </w:rPr>
        <w:t>%</w:t>
      </w:r>
      <w:r>
        <w:rPr>
          <w:rFonts w:ascii="Times New Roman" w:eastAsia="仿宋_GB2312" w:hAnsi="Times New Roman" w:cs="Times New Roman"/>
          <w:sz w:val="32"/>
          <w:szCs w:val="32"/>
        </w:rPr>
        <w:t>，居全市第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7</w:t>
      </w:r>
      <w:r>
        <w:rPr>
          <w:rFonts w:ascii="Times New Roman" w:eastAsia="仿宋_GB2312" w:hAnsi="Times New Roman" w:cs="Times New Roman"/>
          <w:sz w:val="32"/>
          <w:szCs w:val="32"/>
        </w:rPr>
        <w:t>位。重点零售企业中，威佳宏兴增速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11.9</w:t>
      </w:r>
      <w:r>
        <w:rPr>
          <w:rFonts w:ascii="Times New Roman" w:eastAsia="仿宋_GB2312" w:hAnsi="Times New Roman" w:cs="Times New Roman"/>
          <w:sz w:val="32"/>
          <w:szCs w:val="32"/>
        </w:rPr>
        <w:t>%</w:t>
      </w:r>
      <w:r>
        <w:rPr>
          <w:rFonts w:ascii="Times New Roman" w:eastAsia="仿宋_GB2312" w:hAnsi="Times New Roman" w:cs="Times New Roman"/>
          <w:sz w:val="32"/>
          <w:szCs w:val="32"/>
        </w:rPr>
        <w:t>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广兴汽车</w:t>
      </w:r>
      <w:r>
        <w:rPr>
          <w:rFonts w:ascii="Times New Roman" w:eastAsia="仿宋_GB2312" w:hAnsi="Times New Roman" w:cs="Times New Roman"/>
          <w:sz w:val="32"/>
          <w:szCs w:val="32"/>
        </w:rPr>
        <w:t>增速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12.5</w:t>
      </w:r>
      <w:r>
        <w:rPr>
          <w:rFonts w:ascii="Times New Roman" w:eastAsia="仿宋_GB2312" w:hAnsi="Times New Roman" w:cs="Times New Roman"/>
          <w:sz w:val="32"/>
          <w:szCs w:val="32"/>
        </w:rPr>
        <w:t>%</w:t>
      </w:r>
      <w:r>
        <w:rPr>
          <w:rFonts w:ascii="Times New Roman" w:eastAsia="仿宋_GB2312" w:hAnsi="Times New Roman" w:cs="Times New Roman"/>
          <w:sz w:val="32"/>
          <w:szCs w:val="32"/>
        </w:rPr>
        <w:t>，相对较好。</w:t>
      </w:r>
      <w:r w:rsidR="007A3D1B">
        <w:rPr>
          <w:rFonts w:ascii="Times New Roman" w:eastAsia="仿宋_GB2312" w:hAnsi="Times New Roman" w:cs="Times New Roman"/>
          <w:sz w:val="32"/>
          <w:szCs w:val="32"/>
        </w:rPr>
        <w:t>因</w:t>
      </w:r>
      <w:r w:rsidR="007A3D1B">
        <w:rPr>
          <w:rFonts w:ascii="Times New Roman" w:eastAsia="仿宋_GB2312" w:hAnsi="Times New Roman" w:cs="Times New Roman" w:hint="eastAsia"/>
          <w:sz w:val="32"/>
          <w:szCs w:val="32"/>
        </w:rPr>
        <w:t>新入库企业，</w:t>
      </w:r>
      <w:r>
        <w:rPr>
          <w:rFonts w:ascii="Times New Roman" w:eastAsia="仿宋_GB2312" w:hAnsi="Times New Roman" w:cs="Times New Roman"/>
          <w:sz w:val="32"/>
          <w:szCs w:val="32"/>
        </w:rPr>
        <w:t>家电类的</w:t>
      </w:r>
      <w:proofErr w:type="gramStart"/>
      <w:r w:rsidR="007A3D1B">
        <w:rPr>
          <w:rFonts w:ascii="Times New Roman" w:eastAsia="仿宋_GB2312" w:hAnsi="Times New Roman" w:cs="Times New Roman" w:hint="eastAsia"/>
          <w:sz w:val="32"/>
          <w:szCs w:val="32"/>
        </w:rPr>
        <w:t>合胜欣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增速</w:t>
      </w:r>
      <w:r w:rsidR="007A3D1B">
        <w:rPr>
          <w:rFonts w:ascii="Times New Roman" w:eastAsia="仿宋_GB2312" w:hAnsi="Times New Roman" w:cs="Times New Roman" w:hint="eastAsia"/>
          <w:sz w:val="32"/>
          <w:szCs w:val="32"/>
        </w:rPr>
        <w:t>较高</w:t>
      </w:r>
      <w:r>
        <w:rPr>
          <w:rFonts w:ascii="Times New Roman" w:eastAsia="仿宋_GB2312" w:hAnsi="Times New Roman" w:cs="Times New Roman"/>
          <w:sz w:val="32"/>
          <w:szCs w:val="32"/>
        </w:rPr>
        <w:t>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吃穿用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类厚添商业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管理有限公司</w:t>
      </w:r>
      <w:r>
        <w:rPr>
          <w:rFonts w:ascii="Times New Roman" w:eastAsia="仿宋_GB2312" w:hAnsi="Times New Roman" w:cs="Times New Roman"/>
          <w:sz w:val="32"/>
          <w:szCs w:val="32"/>
        </w:rPr>
        <w:t>增速</w:t>
      </w:r>
      <w:r w:rsidR="007A3D1B">
        <w:rPr>
          <w:rFonts w:ascii="Times New Roman" w:eastAsia="仿宋_GB2312" w:hAnsi="Times New Roman" w:cs="Times New Roman" w:hint="eastAsia"/>
          <w:sz w:val="32"/>
          <w:szCs w:val="32"/>
        </w:rPr>
        <w:t>较高</w:t>
      </w:r>
      <w:r>
        <w:rPr>
          <w:rFonts w:ascii="Times New Roman" w:eastAsia="仿宋_GB2312" w:hAnsi="Times New Roman" w:cs="Times New Roman"/>
          <w:sz w:val="32"/>
          <w:szCs w:val="32"/>
        </w:rPr>
        <w:t>。</w:t>
      </w:r>
    </w:p>
    <w:p w14:paraId="2BFD97A5" w14:textId="6C45F387" w:rsidR="00891DFE" w:rsidRDefault="00891DFE" w:rsidP="00891DFE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重点零售商品类值中，占全区限上消费品零售总额比重</w:t>
      </w:r>
      <w:r>
        <w:rPr>
          <w:rFonts w:ascii="Times New Roman" w:eastAsia="仿宋_GB2312" w:hAnsi="Times New Roman" w:cs="Times New Roman"/>
          <w:sz w:val="32"/>
          <w:szCs w:val="32"/>
        </w:rPr>
        <w:t>37%</w:t>
      </w:r>
      <w:r>
        <w:rPr>
          <w:rFonts w:ascii="Times New Roman" w:eastAsia="仿宋_GB2312" w:hAnsi="Times New Roman" w:cs="Times New Roman"/>
          <w:sz w:val="32"/>
          <w:szCs w:val="32"/>
        </w:rPr>
        <w:t>以上的石油及制品类累计增速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-10.6</w:t>
      </w:r>
      <w:r>
        <w:rPr>
          <w:rFonts w:ascii="Times New Roman" w:eastAsia="仿宋_GB2312" w:hAnsi="Times New Roman" w:cs="Times New Roman"/>
          <w:sz w:val="32"/>
          <w:szCs w:val="32"/>
        </w:rPr>
        <w:t>%</w:t>
      </w:r>
      <w:r w:rsidR="007A3D1B">
        <w:rPr>
          <w:rFonts w:ascii="Times New Roman" w:eastAsia="仿宋_GB2312" w:hAnsi="Times New Roman" w:cs="Times New Roman"/>
          <w:sz w:val="32"/>
          <w:szCs w:val="32"/>
        </w:rPr>
        <w:t>，下拉全区增速</w:t>
      </w:r>
      <w:r>
        <w:rPr>
          <w:rFonts w:ascii="Times New Roman" w:eastAsia="仿宋_GB2312" w:hAnsi="Times New Roman" w:cs="Times New Roman"/>
          <w:sz w:val="32"/>
          <w:szCs w:val="32"/>
        </w:rPr>
        <w:t>；占全区限上消费品零售总额比重</w:t>
      </w:r>
      <w:r>
        <w:rPr>
          <w:rFonts w:ascii="Times New Roman" w:eastAsia="仿宋_GB2312" w:hAnsi="Times New Roman" w:cs="Times New Roman"/>
          <w:sz w:val="32"/>
          <w:szCs w:val="32"/>
        </w:rPr>
        <w:t>46.5%</w:t>
      </w:r>
      <w:r>
        <w:rPr>
          <w:rFonts w:ascii="Times New Roman" w:eastAsia="仿宋_GB2312" w:hAnsi="Times New Roman" w:cs="Times New Roman"/>
          <w:sz w:val="32"/>
          <w:szCs w:val="32"/>
        </w:rPr>
        <w:t>以上汽车类累计增速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2.9</w:t>
      </w:r>
      <w:r>
        <w:rPr>
          <w:rFonts w:ascii="Times New Roman" w:eastAsia="仿宋_GB2312" w:hAnsi="Times New Roman" w:cs="Times New Roman"/>
          <w:sz w:val="32"/>
          <w:szCs w:val="32"/>
        </w:rPr>
        <w:t>%</w:t>
      </w:r>
      <w:r>
        <w:rPr>
          <w:rFonts w:ascii="Times New Roman" w:eastAsia="仿宋_GB2312" w:hAnsi="Times New Roman" w:cs="Times New Roman"/>
          <w:sz w:val="32"/>
          <w:szCs w:val="32"/>
        </w:rPr>
        <w:t>，起到重要支撑作用；占全区限上消费品零售总额比重</w:t>
      </w:r>
      <w:r>
        <w:rPr>
          <w:rFonts w:ascii="Times New Roman" w:eastAsia="仿宋_GB2312" w:hAnsi="Times New Roman" w:cs="Times New Roman"/>
          <w:sz w:val="32"/>
          <w:szCs w:val="32"/>
        </w:rPr>
        <w:t>3.5%</w:t>
      </w:r>
      <w:r>
        <w:rPr>
          <w:rFonts w:ascii="Times New Roman" w:eastAsia="仿宋_GB2312" w:hAnsi="Times New Roman" w:cs="Times New Roman"/>
          <w:sz w:val="32"/>
          <w:szCs w:val="32"/>
        </w:rPr>
        <w:t>家用电器类，累计增速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8.4</w:t>
      </w:r>
      <w:r>
        <w:rPr>
          <w:rFonts w:ascii="Times New Roman" w:eastAsia="仿宋_GB2312" w:hAnsi="Times New Roman" w:cs="Times New Roman"/>
          <w:sz w:val="32"/>
          <w:szCs w:val="32"/>
        </w:rPr>
        <w:t>%</w:t>
      </w:r>
      <w:r>
        <w:rPr>
          <w:rFonts w:ascii="Times New Roman" w:eastAsia="仿宋_GB2312" w:hAnsi="Times New Roman" w:cs="Times New Roman"/>
          <w:sz w:val="32"/>
          <w:szCs w:val="32"/>
        </w:rPr>
        <w:t>。</w:t>
      </w:r>
    </w:p>
    <w:p w14:paraId="266B4258" w14:textId="4507C7B1" w:rsidR="004C5FC1" w:rsidRPr="00CD545B" w:rsidRDefault="00D63531" w:rsidP="007A3D1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下一步，要</w:t>
      </w:r>
      <w:r w:rsidR="007A3D1B" w:rsidRPr="007A3D1B">
        <w:rPr>
          <w:rFonts w:ascii="Times New Roman" w:eastAsia="仿宋_GB2312" w:hAnsi="Times New Roman" w:cs="Times New Roman" w:hint="eastAsia"/>
          <w:sz w:val="32"/>
          <w:szCs w:val="32"/>
        </w:rPr>
        <w:t>对限上企业实施“一对一”帮扶，解决用工、融资、物流等难题，助力存量企业稳定增长。</w:t>
      </w:r>
      <w:r w:rsidR="007A3D1B">
        <w:rPr>
          <w:rFonts w:ascii="Times New Roman" w:eastAsia="仿宋_GB2312" w:hAnsi="Times New Roman" w:cs="Times New Roman" w:hint="eastAsia"/>
          <w:sz w:val="32"/>
          <w:szCs w:val="32"/>
        </w:rPr>
        <w:t>加大“小升规”</w:t>
      </w:r>
      <w:r w:rsidR="007A3D1B">
        <w:rPr>
          <w:rFonts w:ascii="Times New Roman" w:eastAsia="仿宋_GB2312" w:hAnsi="Times New Roman" w:cs="Times New Roman" w:hint="eastAsia"/>
          <w:sz w:val="32"/>
          <w:szCs w:val="32"/>
        </w:rPr>
        <w:lastRenderedPageBreak/>
        <w:t>企业培育力度，</w:t>
      </w:r>
      <w:r w:rsidR="007A3D1B" w:rsidRPr="007A3D1B">
        <w:rPr>
          <w:rFonts w:ascii="Times New Roman" w:eastAsia="仿宋_GB2312" w:hAnsi="Times New Roman" w:cs="Times New Roman" w:hint="eastAsia"/>
          <w:sz w:val="32"/>
          <w:szCs w:val="32"/>
        </w:rPr>
        <w:t>提供政策辅导、申报支持，推动符合条件的企业入库纳统，</w:t>
      </w:r>
      <w:proofErr w:type="gramStart"/>
      <w:r w:rsidR="007A3D1B" w:rsidRPr="007A3D1B">
        <w:rPr>
          <w:rFonts w:ascii="Times New Roman" w:eastAsia="仿宋_GB2312" w:hAnsi="Times New Roman" w:cs="Times New Roman" w:hint="eastAsia"/>
          <w:sz w:val="32"/>
          <w:szCs w:val="32"/>
        </w:rPr>
        <w:t>增加社零增量</w:t>
      </w:r>
      <w:proofErr w:type="gramEnd"/>
      <w:r w:rsidR="007A3D1B" w:rsidRPr="007A3D1B">
        <w:rPr>
          <w:rFonts w:ascii="Times New Roman" w:eastAsia="仿宋_GB2312" w:hAnsi="Times New Roman" w:cs="Times New Roman" w:hint="eastAsia"/>
          <w:sz w:val="32"/>
          <w:szCs w:val="32"/>
        </w:rPr>
        <w:t>。创新消费促进活动</w:t>
      </w:r>
      <w:r w:rsidR="007A3D1B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="007A3D1B" w:rsidRPr="007A3D1B">
        <w:rPr>
          <w:rFonts w:ascii="Times New Roman" w:eastAsia="仿宋_GB2312" w:hAnsi="Times New Roman" w:cs="Times New Roman" w:hint="eastAsia"/>
          <w:sz w:val="32"/>
          <w:szCs w:val="32"/>
        </w:rPr>
        <w:t>结合</w:t>
      </w:r>
      <w:r w:rsidR="007A3D1B">
        <w:rPr>
          <w:rFonts w:ascii="Times New Roman" w:eastAsia="仿宋_GB2312" w:hAnsi="Times New Roman" w:cs="Times New Roman" w:hint="eastAsia"/>
          <w:sz w:val="32"/>
          <w:szCs w:val="32"/>
        </w:rPr>
        <w:t>双十一</w:t>
      </w:r>
      <w:r w:rsidR="007A3D1B" w:rsidRPr="007A3D1B">
        <w:rPr>
          <w:rFonts w:ascii="Times New Roman" w:eastAsia="仿宋_GB2312" w:hAnsi="Times New Roman" w:cs="Times New Roman" w:hint="eastAsia"/>
          <w:sz w:val="32"/>
          <w:szCs w:val="32"/>
        </w:rPr>
        <w:t>、消费旺季，举办购物节、汽车展销等活动，鼓励商家开展满减、补贴、以旧换新等促销。</w:t>
      </w:r>
    </w:p>
    <w:p w14:paraId="1560E964" w14:textId="38A3920B" w:rsidR="00B944AF" w:rsidRPr="00CD545B" w:rsidRDefault="007A3D1B" w:rsidP="00CD545B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七</w:t>
      </w:r>
      <w:r w:rsidR="004C7B41" w:rsidRPr="00CD545B">
        <w:rPr>
          <w:rFonts w:ascii="Times New Roman" w:eastAsia="黑体" w:hAnsi="Times New Roman" w:cs="Times New Roman"/>
          <w:sz w:val="32"/>
          <w:szCs w:val="32"/>
        </w:rPr>
        <w:t>、</w:t>
      </w:r>
      <w:r>
        <w:rPr>
          <w:rFonts w:ascii="Times New Roman" w:eastAsia="黑体" w:hAnsi="Times New Roman" w:cs="Times New Roman" w:hint="eastAsia"/>
          <w:sz w:val="32"/>
          <w:szCs w:val="32"/>
        </w:rPr>
        <w:t>规模以上服务业增速略有回落</w:t>
      </w:r>
    </w:p>
    <w:p w14:paraId="535379C1" w14:textId="77777777" w:rsidR="007A3D1B" w:rsidRDefault="007A3D1B" w:rsidP="007A3D1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1-9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月份，全区规模以上服务业实现营业收入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19.2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亿元，同比增长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-6.2%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，较上月下降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0.9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个百分点；其他营利性服务业实现营业收入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1.2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亿元，同比增长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2.4%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。其他运输业实现营业收入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1305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万元，同比增长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-13.4%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；房地产业实现营业收入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2058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万元，同比增长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17.8%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。水利、环境和公共设施管理业实现营业收入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亿元，同比增长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0.2%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；租赁和商务服务业实现营业收入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1.1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亿元，同比增长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3.1%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；科学研究和技术服务业实现营业收入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959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万元，同比增长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-4.7%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14:paraId="70F102AF" w14:textId="6A672B74" w:rsidR="00802001" w:rsidRPr="00D63531" w:rsidRDefault="007A3D1B" w:rsidP="00D63531">
      <w:pPr>
        <w:spacing w:line="560" w:lineRule="exact"/>
        <w:ind w:firstLineChars="200" w:firstLine="640"/>
        <w:rPr>
          <w:rFonts w:ascii="Times New Roman" w:eastAsia="楷体_GB2312" w:hAnsi="Times New Roman" w:cs="Times New Roman"/>
          <w:bCs/>
          <w:sz w:val="32"/>
          <w:szCs w:val="32"/>
        </w:rPr>
      </w:pPr>
      <w:r w:rsidRPr="00D63531">
        <w:rPr>
          <w:rFonts w:ascii="Times New Roman" w:eastAsia="仿宋_GB2312" w:hAnsi="Times New Roman" w:cs="Times New Roman"/>
          <w:sz w:val="32"/>
          <w:szCs w:val="32"/>
        </w:rPr>
        <w:t>下一步</w:t>
      </w:r>
      <w:r w:rsidR="00D63531" w:rsidRPr="00D63531">
        <w:rPr>
          <w:rFonts w:ascii="Times New Roman" w:eastAsia="仿宋_GB2312" w:hAnsi="Times New Roman" w:cs="Times New Roman" w:hint="eastAsia"/>
          <w:sz w:val="32"/>
          <w:szCs w:val="32"/>
        </w:rPr>
        <w:t>，要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全力抓好新增企业入库工作，主动挖掘互联网，居民服务和文体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娱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3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类全区缺失行业企业，为服务业发展培育新的增长点。针对不同企业实施“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一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企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一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策”帮扶措施，切实增强民营服务业企业内生动力与发展后劲。</w:t>
      </w:r>
    </w:p>
    <w:p w14:paraId="19D7C0A9" w14:textId="05AA23A8" w:rsidR="00B944AF" w:rsidRPr="00CD545B" w:rsidRDefault="005B3EF5" w:rsidP="005B3EF5">
      <w:pPr>
        <w:spacing w:line="54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5B3EF5">
        <w:rPr>
          <w:rFonts w:ascii="Times New Roman" w:eastAsia="仿宋_GB2312" w:hAnsi="Times New Roman" w:cs="Times New Roman" w:hint="eastAsia"/>
          <w:sz w:val="32"/>
          <w:szCs w:val="32"/>
        </w:rPr>
        <w:t>总的来看，随着各项存量政策和增量政策发力显效，全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区</w:t>
      </w:r>
      <w:r w:rsidRPr="005B3EF5">
        <w:rPr>
          <w:rFonts w:ascii="Times New Roman" w:eastAsia="仿宋_GB2312" w:hAnsi="Times New Roman" w:cs="Times New Roman" w:hint="eastAsia"/>
          <w:sz w:val="32"/>
          <w:szCs w:val="32"/>
        </w:rPr>
        <w:t>经济保持稳中向好发展态势。但也要看到，当前外部环境复杂严峻，不稳定不确定因素较多，实现全年各项目标任务仍需持续发力、继续用力。下一阶段，全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区</w:t>
      </w:r>
      <w:r w:rsidRPr="005B3EF5">
        <w:rPr>
          <w:rFonts w:ascii="Times New Roman" w:eastAsia="仿宋_GB2312" w:hAnsi="Times New Roman" w:cs="Times New Roman" w:hint="eastAsia"/>
          <w:sz w:val="32"/>
          <w:szCs w:val="32"/>
        </w:rPr>
        <w:t>要牢牢把握高质量发展首要任务和构建新发展格局战略任务，聚焦“</w:t>
      </w:r>
      <w:r w:rsidRPr="005B3EF5">
        <w:rPr>
          <w:rFonts w:ascii="Times New Roman" w:eastAsia="仿宋_GB2312" w:hAnsi="Times New Roman" w:cs="Times New Roman" w:hint="eastAsia"/>
          <w:sz w:val="32"/>
          <w:szCs w:val="32"/>
        </w:rPr>
        <w:t>1+2+4+N</w:t>
      </w:r>
      <w:r w:rsidRPr="005B3EF5">
        <w:rPr>
          <w:rFonts w:ascii="Times New Roman" w:eastAsia="仿宋_GB2312" w:hAnsi="Times New Roman" w:cs="Times New Roman" w:hint="eastAsia"/>
          <w:sz w:val="32"/>
          <w:szCs w:val="32"/>
        </w:rPr>
        <w:t>”目标任务体系，坚定信心、迎难而上，全力做好</w:t>
      </w:r>
      <w:r w:rsidR="00402F64">
        <w:rPr>
          <w:rFonts w:ascii="Times New Roman" w:eastAsia="仿宋_GB2312" w:hAnsi="Times New Roman" w:cs="Times New Roman" w:hint="eastAsia"/>
          <w:sz w:val="32"/>
          <w:szCs w:val="32"/>
        </w:rPr>
        <w:t>四季度各项工作，确保“十四五”圆满收官、“十五五”良好开局，</w:t>
      </w:r>
      <w:r w:rsidRPr="005B3EF5">
        <w:rPr>
          <w:rFonts w:ascii="Times New Roman" w:eastAsia="仿宋_GB2312" w:hAnsi="Times New Roman" w:cs="Times New Roman" w:hint="eastAsia"/>
          <w:sz w:val="32"/>
          <w:szCs w:val="32"/>
        </w:rPr>
        <w:t>推动经济运行持续向好。</w:t>
      </w:r>
    </w:p>
    <w:sectPr w:rsidR="00B944AF" w:rsidRPr="00CD545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338AC5F" w14:textId="77777777" w:rsidR="0022015D" w:rsidRDefault="0022015D" w:rsidP="007501D9">
      <w:r>
        <w:separator/>
      </w:r>
    </w:p>
  </w:endnote>
  <w:endnote w:type="continuationSeparator" w:id="0">
    <w:p w14:paraId="39D60DB5" w14:textId="77777777" w:rsidR="0022015D" w:rsidRDefault="0022015D" w:rsidP="007501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3000509000000000000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A567C43" w14:textId="77777777" w:rsidR="0022015D" w:rsidRDefault="0022015D" w:rsidP="007501D9">
      <w:r>
        <w:separator/>
      </w:r>
    </w:p>
  </w:footnote>
  <w:footnote w:type="continuationSeparator" w:id="0">
    <w:p w14:paraId="495E7068" w14:textId="77777777" w:rsidR="0022015D" w:rsidRDefault="0022015D" w:rsidP="007501D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NkMzlkMGNjOTFlZWMzYTQ4NjNkNzM0N2E1MWQyNjMifQ=="/>
  </w:docVars>
  <w:rsids>
    <w:rsidRoot w:val="005E19DC"/>
    <w:rsid w:val="00005F23"/>
    <w:rsid w:val="00011458"/>
    <w:rsid w:val="00027F70"/>
    <w:rsid w:val="00036871"/>
    <w:rsid w:val="00044911"/>
    <w:rsid w:val="00046874"/>
    <w:rsid w:val="0004716A"/>
    <w:rsid w:val="00062A91"/>
    <w:rsid w:val="000A4043"/>
    <w:rsid w:val="000B0EA2"/>
    <w:rsid w:val="000C0658"/>
    <w:rsid w:val="000D433C"/>
    <w:rsid w:val="000F1C49"/>
    <w:rsid w:val="00102C7E"/>
    <w:rsid w:val="00105B07"/>
    <w:rsid w:val="0011322A"/>
    <w:rsid w:val="00113FFB"/>
    <w:rsid w:val="0012157B"/>
    <w:rsid w:val="00122F2B"/>
    <w:rsid w:val="00145D9A"/>
    <w:rsid w:val="001512F3"/>
    <w:rsid w:val="00165FE2"/>
    <w:rsid w:val="00194B59"/>
    <w:rsid w:val="00197145"/>
    <w:rsid w:val="001B20D4"/>
    <w:rsid w:val="001B23C9"/>
    <w:rsid w:val="001B4282"/>
    <w:rsid w:val="001D08C0"/>
    <w:rsid w:val="001D59E3"/>
    <w:rsid w:val="001E3BB4"/>
    <w:rsid w:val="001E69FF"/>
    <w:rsid w:val="001E75BB"/>
    <w:rsid w:val="00211357"/>
    <w:rsid w:val="0022015D"/>
    <w:rsid w:val="00222B2A"/>
    <w:rsid w:val="00222FF2"/>
    <w:rsid w:val="002443EC"/>
    <w:rsid w:val="00254F27"/>
    <w:rsid w:val="002647C0"/>
    <w:rsid w:val="00265980"/>
    <w:rsid w:val="0026600F"/>
    <w:rsid w:val="00282360"/>
    <w:rsid w:val="002A11B6"/>
    <w:rsid w:val="002A6BCA"/>
    <w:rsid w:val="002A77DC"/>
    <w:rsid w:val="002B45FD"/>
    <w:rsid w:val="002C35A2"/>
    <w:rsid w:val="002C72C8"/>
    <w:rsid w:val="002D5735"/>
    <w:rsid w:val="002D6CDD"/>
    <w:rsid w:val="002E17EA"/>
    <w:rsid w:val="002F40D4"/>
    <w:rsid w:val="002F6CE5"/>
    <w:rsid w:val="00300F12"/>
    <w:rsid w:val="00301178"/>
    <w:rsid w:val="00301DE4"/>
    <w:rsid w:val="00312AB3"/>
    <w:rsid w:val="003267AC"/>
    <w:rsid w:val="00327F8D"/>
    <w:rsid w:val="00332C7B"/>
    <w:rsid w:val="00342E98"/>
    <w:rsid w:val="00345AD8"/>
    <w:rsid w:val="00345EEE"/>
    <w:rsid w:val="00351165"/>
    <w:rsid w:val="003642E3"/>
    <w:rsid w:val="00373403"/>
    <w:rsid w:val="003843A7"/>
    <w:rsid w:val="00391023"/>
    <w:rsid w:val="00397E2C"/>
    <w:rsid w:val="003A5C02"/>
    <w:rsid w:val="003B1CCD"/>
    <w:rsid w:val="003C03DD"/>
    <w:rsid w:val="00402F64"/>
    <w:rsid w:val="00404F2F"/>
    <w:rsid w:val="00407B5C"/>
    <w:rsid w:val="00407D7D"/>
    <w:rsid w:val="004116BC"/>
    <w:rsid w:val="00435FA4"/>
    <w:rsid w:val="004411D3"/>
    <w:rsid w:val="00441FF4"/>
    <w:rsid w:val="004768BB"/>
    <w:rsid w:val="00486EE1"/>
    <w:rsid w:val="004A1525"/>
    <w:rsid w:val="004A3E1D"/>
    <w:rsid w:val="004B5219"/>
    <w:rsid w:val="004C5FC1"/>
    <w:rsid w:val="004C6EAD"/>
    <w:rsid w:val="004C76E9"/>
    <w:rsid w:val="004C7B41"/>
    <w:rsid w:val="00517332"/>
    <w:rsid w:val="005320A0"/>
    <w:rsid w:val="00536F4C"/>
    <w:rsid w:val="00552ED2"/>
    <w:rsid w:val="00556F38"/>
    <w:rsid w:val="00565931"/>
    <w:rsid w:val="005774F7"/>
    <w:rsid w:val="00577528"/>
    <w:rsid w:val="00583BFC"/>
    <w:rsid w:val="005A4E71"/>
    <w:rsid w:val="005B3EF5"/>
    <w:rsid w:val="005C5142"/>
    <w:rsid w:val="005E19DC"/>
    <w:rsid w:val="005F7C3B"/>
    <w:rsid w:val="0061626E"/>
    <w:rsid w:val="00620B55"/>
    <w:rsid w:val="00625D63"/>
    <w:rsid w:val="0062633A"/>
    <w:rsid w:val="006263BC"/>
    <w:rsid w:val="006347B8"/>
    <w:rsid w:val="00644B37"/>
    <w:rsid w:val="00655828"/>
    <w:rsid w:val="00656159"/>
    <w:rsid w:val="00657E3B"/>
    <w:rsid w:val="00677379"/>
    <w:rsid w:val="00686EEB"/>
    <w:rsid w:val="006D59DE"/>
    <w:rsid w:val="00703FF6"/>
    <w:rsid w:val="0072657B"/>
    <w:rsid w:val="007317C0"/>
    <w:rsid w:val="00736425"/>
    <w:rsid w:val="00737DA6"/>
    <w:rsid w:val="0074462A"/>
    <w:rsid w:val="007501D9"/>
    <w:rsid w:val="0075442B"/>
    <w:rsid w:val="00775B71"/>
    <w:rsid w:val="007A3D1B"/>
    <w:rsid w:val="007B64FB"/>
    <w:rsid w:val="007C1F4A"/>
    <w:rsid w:val="007D7FEA"/>
    <w:rsid w:val="007E252B"/>
    <w:rsid w:val="007E6F2C"/>
    <w:rsid w:val="00802001"/>
    <w:rsid w:val="008077E8"/>
    <w:rsid w:val="00813016"/>
    <w:rsid w:val="00825BDE"/>
    <w:rsid w:val="00826A00"/>
    <w:rsid w:val="00826A20"/>
    <w:rsid w:val="00841AAC"/>
    <w:rsid w:val="0085766F"/>
    <w:rsid w:val="00873BA9"/>
    <w:rsid w:val="00875099"/>
    <w:rsid w:val="0087528C"/>
    <w:rsid w:val="00877C49"/>
    <w:rsid w:val="00891DFE"/>
    <w:rsid w:val="008A60F7"/>
    <w:rsid w:val="008A73DB"/>
    <w:rsid w:val="008B063F"/>
    <w:rsid w:val="008C602F"/>
    <w:rsid w:val="008E00DE"/>
    <w:rsid w:val="008E6804"/>
    <w:rsid w:val="008E7710"/>
    <w:rsid w:val="008F24CD"/>
    <w:rsid w:val="008F3749"/>
    <w:rsid w:val="00921172"/>
    <w:rsid w:val="009228B7"/>
    <w:rsid w:val="009230B1"/>
    <w:rsid w:val="00951607"/>
    <w:rsid w:val="00975C1E"/>
    <w:rsid w:val="00983338"/>
    <w:rsid w:val="00985BD6"/>
    <w:rsid w:val="00993754"/>
    <w:rsid w:val="009943F6"/>
    <w:rsid w:val="009B03BF"/>
    <w:rsid w:val="009B3676"/>
    <w:rsid w:val="009B53BA"/>
    <w:rsid w:val="009D127A"/>
    <w:rsid w:val="009E6154"/>
    <w:rsid w:val="009F2E71"/>
    <w:rsid w:val="009F401F"/>
    <w:rsid w:val="00A24B0F"/>
    <w:rsid w:val="00A36A3B"/>
    <w:rsid w:val="00A6622C"/>
    <w:rsid w:val="00A71807"/>
    <w:rsid w:val="00A71A85"/>
    <w:rsid w:val="00AA5059"/>
    <w:rsid w:val="00AB2065"/>
    <w:rsid w:val="00AC1BDB"/>
    <w:rsid w:val="00AC3181"/>
    <w:rsid w:val="00AC389B"/>
    <w:rsid w:val="00AD1D42"/>
    <w:rsid w:val="00AD4491"/>
    <w:rsid w:val="00AE239E"/>
    <w:rsid w:val="00AF0431"/>
    <w:rsid w:val="00AF2CC8"/>
    <w:rsid w:val="00AF6203"/>
    <w:rsid w:val="00B02DB0"/>
    <w:rsid w:val="00B15EE6"/>
    <w:rsid w:val="00B21820"/>
    <w:rsid w:val="00B2284D"/>
    <w:rsid w:val="00B26375"/>
    <w:rsid w:val="00B45ACB"/>
    <w:rsid w:val="00B46108"/>
    <w:rsid w:val="00B513CF"/>
    <w:rsid w:val="00B53D97"/>
    <w:rsid w:val="00B55660"/>
    <w:rsid w:val="00B56203"/>
    <w:rsid w:val="00B60B7D"/>
    <w:rsid w:val="00B60C4F"/>
    <w:rsid w:val="00B63A1E"/>
    <w:rsid w:val="00B71300"/>
    <w:rsid w:val="00B763C2"/>
    <w:rsid w:val="00B83974"/>
    <w:rsid w:val="00B8427F"/>
    <w:rsid w:val="00B86936"/>
    <w:rsid w:val="00B87E0D"/>
    <w:rsid w:val="00B92BC1"/>
    <w:rsid w:val="00B944AF"/>
    <w:rsid w:val="00B95184"/>
    <w:rsid w:val="00BA1710"/>
    <w:rsid w:val="00BA342F"/>
    <w:rsid w:val="00BA66C5"/>
    <w:rsid w:val="00BB1215"/>
    <w:rsid w:val="00BF585A"/>
    <w:rsid w:val="00BF5B37"/>
    <w:rsid w:val="00BF73EF"/>
    <w:rsid w:val="00C06001"/>
    <w:rsid w:val="00C0610B"/>
    <w:rsid w:val="00C10518"/>
    <w:rsid w:val="00C212A3"/>
    <w:rsid w:val="00C27F5A"/>
    <w:rsid w:val="00C321B2"/>
    <w:rsid w:val="00C40A6D"/>
    <w:rsid w:val="00C414B1"/>
    <w:rsid w:val="00C54AF7"/>
    <w:rsid w:val="00C600B9"/>
    <w:rsid w:val="00C7300A"/>
    <w:rsid w:val="00C80F22"/>
    <w:rsid w:val="00C839E5"/>
    <w:rsid w:val="00C95F17"/>
    <w:rsid w:val="00C96E42"/>
    <w:rsid w:val="00CA58DA"/>
    <w:rsid w:val="00CB438B"/>
    <w:rsid w:val="00CC29B9"/>
    <w:rsid w:val="00CD09B0"/>
    <w:rsid w:val="00CD545B"/>
    <w:rsid w:val="00D04E84"/>
    <w:rsid w:val="00D329A2"/>
    <w:rsid w:val="00D47240"/>
    <w:rsid w:val="00D53ADB"/>
    <w:rsid w:val="00D53BC2"/>
    <w:rsid w:val="00D568D2"/>
    <w:rsid w:val="00D63531"/>
    <w:rsid w:val="00D837AC"/>
    <w:rsid w:val="00D9054E"/>
    <w:rsid w:val="00D95E55"/>
    <w:rsid w:val="00DA11C6"/>
    <w:rsid w:val="00DA73BA"/>
    <w:rsid w:val="00DD16AF"/>
    <w:rsid w:val="00DD50E8"/>
    <w:rsid w:val="00DD5A34"/>
    <w:rsid w:val="00E06BE7"/>
    <w:rsid w:val="00E340B0"/>
    <w:rsid w:val="00E40F3F"/>
    <w:rsid w:val="00E54445"/>
    <w:rsid w:val="00E77C82"/>
    <w:rsid w:val="00E946A5"/>
    <w:rsid w:val="00EB76C2"/>
    <w:rsid w:val="00ED00E2"/>
    <w:rsid w:val="00ED5886"/>
    <w:rsid w:val="00EF0AA1"/>
    <w:rsid w:val="00F15659"/>
    <w:rsid w:val="00F22C4A"/>
    <w:rsid w:val="00F40D06"/>
    <w:rsid w:val="00F52BB6"/>
    <w:rsid w:val="00F64640"/>
    <w:rsid w:val="00F72E00"/>
    <w:rsid w:val="00F734B2"/>
    <w:rsid w:val="00F81A11"/>
    <w:rsid w:val="00F83561"/>
    <w:rsid w:val="00FA7FC9"/>
    <w:rsid w:val="00FD05DD"/>
    <w:rsid w:val="00FD4F49"/>
    <w:rsid w:val="00FE4EE9"/>
    <w:rsid w:val="00FF0161"/>
    <w:rsid w:val="1C65060C"/>
    <w:rsid w:val="21035D38"/>
    <w:rsid w:val="28497AEB"/>
    <w:rsid w:val="4AFC3DF4"/>
    <w:rsid w:val="57671229"/>
    <w:rsid w:val="695A25FA"/>
    <w:rsid w:val="6D783C8D"/>
    <w:rsid w:val="79AD55BF"/>
    <w:rsid w:val="79E83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rPr>
      <w:rFonts w:ascii="Calibri" w:eastAsia="宋体" w:hAnsi="Calibri" w:cs="宋体"/>
      <w:sz w:val="24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6D59DE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6D59DE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rPr>
      <w:rFonts w:ascii="Calibri" w:eastAsia="宋体" w:hAnsi="Calibri" w:cs="宋体"/>
      <w:sz w:val="24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6D59DE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6D59DE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35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1392</TotalTime>
  <Pages>7</Pages>
  <Words>604</Words>
  <Characters>3448</Characters>
  <Application>Microsoft Office Word</Application>
  <DocSecurity>0</DocSecurity>
  <Lines>28</Lines>
  <Paragraphs>8</Paragraphs>
  <ScaleCrop>false</ScaleCrop>
  <Company/>
  <LinksUpToDate>false</LinksUpToDate>
  <CharactersWithSpaces>4044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121</cp:revision>
  <cp:lastPrinted>2025-03-21T06:55:00Z</cp:lastPrinted>
  <dcterms:created xsi:type="dcterms:W3CDTF">2022-04-13T07:35:00Z</dcterms:created>
  <dcterms:modified xsi:type="dcterms:W3CDTF">2025-11-14T08:23:00Z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225F1FE29D72485D9CC95EED783F2317_13</vt:lpwstr>
  </property>
</Properties>
</file>